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76" w:rsidRPr="00D51976" w:rsidRDefault="00D51976" w:rsidP="00227086">
      <w:pPr>
        <w:widowControl/>
        <w:autoSpaceDE w:val="0"/>
        <w:autoSpaceDN w:val="0"/>
        <w:spacing w:before="120" w:after="120" w:line="360" w:lineRule="exact"/>
        <w:ind w:right="-57"/>
        <w:jc w:val="center"/>
        <w:textAlignment w:val="bottom"/>
        <w:rPr>
          <w:rFonts w:ascii="標楷體" w:eastAsia="標楷體" w:hAnsi="標楷體"/>
          <w:b/>
          <w:sz w:val="28"/>
          <w:szCs w:val="28"/>
        </w:rPr>
      </w:pPr>
      <w:r w:rsidRPr="00D51976">
        <w:rPr>
          <w:rFonts w:ascii="標楷體" w:eastAsia="標楷體" w:hAnsi="標楷體"/>
          <w:b/>
          <w:sz w:val="28"/>
          <w:szCs w:val="28"/>
        </w:rPr>
        <w:t>產品涉入與知覺風險對消費者購買意願之影響</w:t>
      </w:r>
    </w:p>
    <w:p w:rsidR="00D51976" w:rsidRPr="00D51976" w:rsidRDefault="00D51976" w:rsidP="00227086">
      <w:pPr>
        <w:spacing w:beforeLines="50" w:line="360" w:lineRule="exact"/>
        <w:jc w:val="center"/>
        <w:rPr>
          <w:rFonts w:ascii="標楷體" w:eastAsia="標楷體" w:hAnsi="標楷體" w:hint="eastAsia"/>
          <w:b/>
          <w:sz w:val="28"/>
          <w:szCs w:val="28"/>
        </w:rPr>
      </w:pPr>
      <w:r w:rsidRPr="00D51976">
        <w:rPr>
          <w:rFonts w:ascii="標楷體" w:eastAsia="標楷體" w:hAnsi="標楷體"/>
          <w:b/>
          <w:sz w:val="28"/>
          <w:szCs w:val="28"/>
        </w:rPr>
        <w:t>-以塑化劑事件為例</w:t>
      </w:r>
    </w:p>
    <w:p w:rsidR="00D51976" w:rsidRPr="00D51976" w:rsidRDefault="00D51976" w:rsidP="00D51976">
      <w:pPr>
        <w:widowControl/>
        <w:autoSpaceDE w:val="0"/>
        <w:autoSpaceDN w:val="0"/>
        <w:spacing w:line="440" w:lineRule="exact"/>
        <w:jc w:val="both"/>
        <w:textAlignment w:val="bottom"/>
        <w:rPr>
          <w:rFonts w:ascii="標楷體" w:eastAsia="標楷體" w:hAnsi="標楷體"/>
        </w:rPr>
      </w:pPr>
      <w:r w:rsidRPr="00D51976">
        <w:rPr>
          <w:rFonts w:ascii="標楷體" w:eastAsia="標楷體" w:hAnsi="標楷體"/>
        </w:rPr>
        <w:t>指導老師：</w:t>
      </w:r>
      <w:smartTag w:uri="urn:schemas-microsoft-com:office:smarttags" w:element="PersonName">
        <w:smartTagPr>
          <w:attr w:name="ProductID" w:val="何睦美"/>
        </w:smartTagPr>
        <w:r w:rsidRPr="00D51976">
          <w:rPr>
            <w:rFonts w:ascii="標楷體" w:eastAsia="標楷體" w:hAnsi="標楷體"/>
          </w:rPr>
          <w:t>何睦美</w:t>
        </w:r>
      </w:smartTag>
      <w:r w:rsidRPr="00D51976">
        <w:rPr>
          <w:rFonts w:ascii="標楷體" w:eastAsia="標楷體" w:hAnsi="標楷體"/>
        </w:rPr>
        <w:t>老師</w:t>
      </w:r>
    </w:p>
    <w:p w:rsidR="00D51976" w:rsidRPr="00D51976" w:rsidRDefault="00D51976" w:rsidP="00D51976">
      <w:pPr>
        <w:widowControl/>
        <w:autoSpaceDE w:val="0"/>
        <w:autoSpaceDN w:val="0"/>
        <w:spacing w:line="440" w:lineRule="exact"/>
        <w:jc w:val="both"/>
        <w:textAlignment w:val="bottom"/>
        <w:rPr>
          <w:rFonts w:ascii="標楷體" w:eastAsia="標楷體" w:hAnsi="標楷體" w:hint="eastAsia"/>
        </w:rPr>
      </w:pPr>
      <w:r w:rsidRPr="00D51976">
        <w:rPr>
          <w:rFonts w:ascii="標楷體" w:eastAsia="標楷體" w:hAnsi="標楷體"/>
        </w:rPr>
        <w:t>組　　員：張欣穎</w:t>
      </w:r>
      <w:r w:rsidRPr="00D51976">
        <w:rPr>
          <w:rFonts w:ascii="標楷體" w:eastAsia="標楷體" w:hAnsi="標楷體" w:hint="eastAsia"/>
        </w:rPr>
        <w:t>、</w:t>
      </w:r>
      <w:r w:rsidRPr="00D51976">
        <w:rPr>
          <w:rFonts w:ascii="標楷體" w:eastAsia="標楷體" w:hAnsi="標楷體"/>
        </w:rPr>
        <w:t>蘇冠中</w:t>
      </w:r>
      <w:r w:rsidRPr="00D51976">
        <w:rPr>
          <w:rFonts w:ascii="標楷體" w:eastAsia="標楷體" w:hAnsi="標楷體" w:hint="eastAsia"/>
        </w:rPr>
        <w:t>、</w:t>
      </w:r>
      <w:r w:rsidRPr="00D51976">
        <w:rPr>
          <w:rFonts w:ascii="標楷體" w:eastAsia="標楷體" w:hAnsi="標楷體"/>
        </w:rPr>
        <w:t>陳怡如</w:t>
      </w:r>
    </w:p>
    <w:p w:rsidR="00D51976" w:rsidRPr="00D51976" w:rsidRDefault="00D51976" w:rsidP="00D51976">
      <w:pPr>
        <w:spacing w:beforeLines="50" w:line="440" w:lineRule="exact"/>
        <w:jc w:val="center"/>
        <w:rPr>
          <w:rFonts w:ascii="標楷體" w:eastAsia="標楷體" w:hAnsi="標楷體" w:hint="eastAsia"/>
          <w:b/>
        </w:rPr>
      </w:pPr>
      <w:r w:rsidRPr="00D51976">
        <w:rPr>
          <w:rFonts w:ascii="標楷體" w:eastAsia="標楷體" w:hAnsi="標楷體" w:hint="eastAsia"/>
          <w:b/>
        </w:rPr>
        <w:t>摘要</w:t>
      </w:r>
    </w:p>
    <w:p w:rsidR="00D51976" w:rsidRPr="00D51976" w:rsidRDefault="00D51976" w:rsidP="00D51976">
      <w:pPr>
        <w:spacing w:beforeLines="50" w:line="440" w:lineRule="exact"/>
        <w:ind w:firstLineChars="200" w:firstLine="480"/>
        <w:jc w:val="both"/>
        <w:rPr>
          <w:rFonts w:ascii="標楷體" w:eastAsia="標楷體" w:hAnsi="標楷體"/>
          <w:color w:val="000000"/>
        </w:rPr>
      </w:pPr>
      <w:r w:rsidRPr="00D51976">
        <w:rPr>
          <w:rFonts w:ascii="標楷體" w:eastAsia="標楷體" w:hAnsi="標楷體"/>
        </w:rPr>
        <w:t>近年來</w:t>
      </w:r>
      <w:r w:rsidRPr="00D51976">
        <w:rPr>
          <w:rFonts w:ascii="標楷體" w:eastAsia="標楷體" w:hAnsi="標楷體"/>
          <w:color w:val="000000"/>
        </w:rPr>
        <w:t>，民眾的生活水準大幅提昇，對食品衛生的要求與日俱增。然而仍有少數不肖業者為謀取暴利，大量生產</w:t>
      </w:r>
      <w:r w:rsidRPr="00D51976">
        <w:rPr>
          <w:rFonts w:ascii="標楷體" w:eastAsia="標楷體" w:hAnsi="標楷體"/>
        </w:rPr>
        <w:t>原物料、添加物有害於人體，或製作過程不合格之食品</w:t>
      </w:r>
      <w:r w:rsidRPr="00D51976">
        <w:rPr>
          <w:rFonts w:ascii="標楷體" w:eastAsia="標楷體" w:hAnsi="標楷體"/>
          <w:color w:val="000000"/>
        </w:rPr>
        <w:t>，使之流入市面。去年台灣爆發塑化劑事件，不肖業者將對人體有害之塑化劑取代合法食品添加物</w:t>
      </w:r>
      <w:proofErr w:type="gramStart"/>
      <w:r w:rsidRPr="00D51976">
        <w:rPr>
          <w:rFonts w:ascii="標楷體" w:eastAsia="標楷體" w:hAnsi="標楷體"/>
          <w:color w:val="000000"/>
        </w:rPr>
        <w:t>起雲劑加入</w:t>
      </w:r>
      <w:proofErr w:type="gramEnd"/>
      <w:r w:rsidRPr="00D51976">
        <w:rPr>
          <w:rFonts w:ascii="標楷體" w:eastAsia="標楷體" w:hAnsi="標楷體"/>
          <w:color w:val="000000"/>
        </w:rPr>
        <w:t>食品之中，經媒體披露造成民眾恐慌。在事件過後，消費者對於相關食品之購買意願應是值得探討之議題。</w:t>
      </w:r>
    </w:p>
    <w:p w:rsidR="00D51976" w:rsidRPr="00D51976" w:rsidRDefault="00D51976" w:rsidP="00D51976">
      <w:pPr>
        <w:spacing w:beforeLines="50" w:line="440" w:lineRule="exact"/>
        <w:ind w:firstLineChars="200" w:firstLine="480"/>
        <w:jc w:val="both"/>
        <w:rPr>
          <w:rFonts w:ascii="標楷體" w:eastAsia="標楷體" w:hAnsi="標楷體"/>
          <w:kern w:val="0"/>
        </w:rPr>
      </w:pPr>
      <w:r w:rsidRPr="00D51976">
        <w:rPr>
          <w:rFonts w:ascii="標楷體" w:eastAsia="標楷體" w:hAnsi="標楷體"/>
          <w:color w:val="000000"/>
        </w:rPr>
        <w:t>本研究</w:t>
      </w:r>
      <w:r w:rsidRPr="00D51976">
        <w:rPr>
          <w:rFonts w:ascii="標楷體" w:eastAsia="標楷體" w:hAnsi="標楷體"/>
          <w:kern w:val="0"/>
        </w:rPr>
        <w:t>以相關文獻之理論為基礎，採用問卷調查的方式，以敘述統計、變異數分析、相關分析、</w:t>
      </w:r>
      <w:proofErr w:type="gramStart"/>
      <w:r w:rsidRPr="00D51976">
        <w:rPr>
          <w:rFonts w:ascii="標楷體" w:eastAsia="標楷體" w:hAnsi="標楷體"/>
          <w:kern w:val="0"/>
        </w:rPr>
        <w:t>迴</w:t>
      </w:r>
      <w:proofErr w:type="gramEnd"/>
      <w:r w:rsidRPr="00D51976">
        <w:rPr>
          <w:rFonts w:ascii="標楷體" w:eastAsia="標楷體" w:hAnsi="標楷體"/>
          <w:kern w:val="0"/>
        </w:rPr>
        <w:t>歸分析等，歸納前述資料結果探討</w:t>
      </w:r>
      <w:r w:rsidRPr="00D51976">
        <w:rPr>
          <w:rFonts w:ascii="標楷體" w:eastAsia="標楷體" w:hAnsi="標楷體"/>
          <w:color w:val="000000"/>
        </w:rPr>
        <w:t>產品涉入、知覺風險對消費者購買意願之影響</w:t>
      </w:r>
      <w:r w:rsidRPr="00D51976">
        <w:rPr>
          <w:rFonts w:ascii="標楷體" w:eastAsia="標楷體" w:hAnsi="標楷體"/>
          <w:kern w:val="0"/>
        </w:rPr>
        <w:t>，藉以了解在此事件過後，消費者之購買意願產生何種變化。</w:t>
      </w:r>
    </w:p>
    <w:p w:rsidR="00D51976" w:rsidRPr="00D51976" w:rsidRDefault="00D51976" w:rsidP="00D51976">
      <w:pPr>
        <w:spacing w:beforeLines="50" w:line="440" w:lineRule="exact"/>
        <w:ind w:firstLineChars="200" w:firstLine="480"/>
        <w:jc w:val="both"/>
        <w:rPr>
          <w:rFonts w:ascii="標楷體" w:eastAsia="標楷體" w:hAnsi="標楷體"/>
          <w:kern w:val="0"/>
        </w:rPr>
      </w:pPr>
      <w:r w:rsidRPr="00D51976">
        <w:rPr>
          <w:rFonts w:ascii="標楷體" w:eastAsia="標楷體" w:hAnsi="標楷體"/>
        </w:rPr>
        <w:t>本研究研究結果顯示</w:t>
      </w:r>
      <w:r w:rsidRPr="00D51976">
        <w:rPr>
          <w:rFonts w:ascii="標楷體" w:eastAsia="標楷體" w:hAnsi="標楷體"/>
          <w:kern w:val="0"/>
        </w:rPr>
        <w:t>:(1)產品涉入與知覺風險呈正向中度關係。(2)產品涉入與購買意願呈</w:t>
      </w:r>
      <w:proofErr w:type="gramStart"/>
      <w:r w:rsidRPr="00D51976">
        <w:rPr>
          <w:rFonts w:ascii="標楷體" w:eastAsia="標楷體" w:hAnsi="標楷體"/>
          <w:kern w:val="0"/>
        </w:rPr>
        <w:t>正向低度</w:t>
      </w:r>
      <w:proofErr w:type="gramEnd"/>
      <w:r w:rsidRPr="00D51976">
        <w:rPr>
          <w:rFonts w:ascii="標楷體" w:eastAsia="標楷體" w:hAnsi="標楷體"/>
          <w:kern w:val="0"/>
        </w:rPr>
        <w:t>關係。(3)知覺風險與購買意願呈</w:t>
      </w:r>
      <w:proofErr w:type="gramStart"/>
      <w:r w:rsidRPr="00D51976">
        <w:rPr>
          <w:rFonts w:ascii="標楷體" w:eastAsia="標楷體" w:hAnsi="標楷體"/>
          <w:kern w:val="0"/>
        </w:rPr>
        <w:t>負向低度</w:t>
      </w:r>
      <w:proofErr w:type="gramEnd"/>
      <w:r w:rsidRPr="00D51976">
        <w:rPr>
          <w:rFonts w:ascii="標楷體" w:eastAsia="標楷體" w:hAnsi="標楷體"/>
          <w:kern w:val="0"/>
        </w:rPr>
        <w:t>關係。</w:t>
      </w:r>
    </w:p>
    <w:p w:rsidR="009B075B" w:rsidRPr="00D51976" w:rsidRDefault="00D51976" w:rsidP="00D51976">
      <w:pPr>
        <w:spacing w:line="440" w:lineRule="exact"/>
        <w:rPr>
          <w:rFonts w:ascii="標楷體" w:eastAsia="標楷體" w:hAnsi="標楷體" w:hint="eastAsia"/>
          <w:kern w:val="0"/>
        </w:rPr>
      </w:pPr>
      <w:r w:rsidRPr="00D51976">
        <w:rPr>
          <w:rFonts w:ascii="標楷體" w:eastAsia="標楷體" w:hAnsi="標楷體"/>
          <w:kern w:val="0"/>
        </w:rPr>
        <w:t>關鍵字</w:t>
      </w:r>
      <w:r w:rsidRPr="00D51976">
        <w:rPr>
          <w:rFonts w:ascii="標楷體" w:eastAsia="標楷體" w:hAnsi="標楷體" w:hint="eastAsia"/>
          <w:kern w:val="0"/>
        </w:rPr>
        <w:t>：</w:t>
      </w:r>
      <w:r w:rsidRPr="00D51976">
        <w:rPr>
          <w:rFonts w:ascii="標楷體" w:eastAsia="標楷體" w:hAnsi="標楷體"/>
          <w:kern w:val="0"/>
        </w:rPr>
        <w:t>產品涉入、知覺風險、購買意願</w:t>
      </w:r>
    </w:p>
    <w:p w:rsidR="00D51976" w:rsidRPr="00D51976" w:rsidRDefault="00D51976" w:rsidP="00D51976">
      <w:pPr>
        <w:spacing w:line="440" w:lineRule="exact"/>
        <w:rPr>
          <w:rFonts w:ascii="標楷體" w:eastAsia="標楷體" w:hAnsi="標楷體" w:hint="eastAsia"/>
          <w:kern w:val="0"/>
        </w:rPr>
      </w:pPr>
    </w:p>
    <w:p w:rsidR="00D51976" w:rsidRPr="00D51976" w:rsidRDefault="00D51976" w:rsidP="00D51976">
      <w:pPr>
        <w:snapToGrid w:val="0"/>
        <w:spacing w:beforeLines="50" w:line="440" w:lineRule="exact"/>
        <w:jc w:val="center"/>
        <w:outlineLvl w:val="0"/>
        <w:rPr>
          <w:rFonts w:ascii="標楷體" w:eastAsia="標楷體" w:hAnsi="標楷體"/>
          <w:b/>
        </w:rPr>
      </w:pPr>
      <w:bookmarkStart w:id="0" w:name="_Toc322478184"/>
      <w:bookmarkStart w:id="1" w:name="_Toc323828520"/>
      <w:r w:rsidRPr="00D51976">
        <w:rPr>
          <w:rFonts w:ascii="標楷體" w:eastAsia="標楷體" w:hAnsi="標楷體"/>
          <w:b/>
        </w:rPr>
        <w:t>第壹章  緒論</w:t>
      </w:r>
      <w:bookmarkStart w:id="2" w:name="_Toc304729042"/>
      <w:bookmarkEnd w:id="0"/>
      <w:bookmarkEnd w:id="1"/>
    </w:p>
    <w:p w:rsidR="00D51976" w:rsidRPr="00D51976" w:rsidRDefault="00D51976" w:rsidP="00D51976">
      <w:pPr>
        <w:snapToGrid w:val="0"/>
        <w:spacing w:beforeLines="50" w:line="440" w:lineRule="exact"/>
        <w:jc w:val="center"/>
        <w:outlineLvl w:val="1"/>
        <w:rPr>
          <w:rFonts w:ascii="標楷體" w:eastAsia="標楷體" w:hAnsi="標楷體"/>
          <w:b/>
        </w:rPr>
      </w:pPr>
      <w:bookmarkStart w:id="3" w:name="_Toc304906531"/>
      <w:bookmarkStart w:id="4" w:name="_Toc322478185"/>
      <w:bookmarkStart w:id="5" w:name="_Toc323828521"/>
      <w:r w:rsidRPr="00D51976">
        <w:rPr>
          <w:rFonts w:ascii="標楷體" w:eastAsia="標楷體" w:hAnsi="標楷體"/>
          <w:b/>
        </w:rPr>
        <w:t>第一節  研究背景</w:t>
      </w:r>
      <w:bookmarkEnd w:id="2"/>
      <w:bookmarkEnd w:id="3"/>
      <w:bookmarkEnd w:id="4"/>
      <w:bookmarkEnd w:id="5"/>
    </w:p>
    <w:p w:rsidR="00D51976" w:rsidRPr="00D51976" w:rsidRDefault="00D51976" w:rsidP="00D51976">
      <w:pPr>
        <w:widowControl/>
        <w:snapToGrid w:val="0"/>
        <w:spacing w:beforeLines="50" w:after="100" w:afterAutospacing="1" w:line="440" w:lineRule="exact"/>
        <w:ind w:firstLineChars="200" w:firstLine="480"/>
        <w:jc w:val="both"/>
        <w:rPr>
          <w:rFonts w:ascii="標楷體" w:eastAsia="標楷體" w:hAnsi="標楷體"/>
        </w:rPr>
      </w:pPr>
      <w:proofErr w:type="gramStart"/>
      <w:r w:rsidRPr="00D51976">
        <w:rPr>
          <w:rFonts w:ascii="標楷體" w:eastAsia="標楷體" w:hAnsi="標楷體"/>
        </w:rPr>
        <w:t>近幾年來黑心</w:t>
      </w:r>
      <w:proofErr w:type="gramEnd"/>
      <w:r w:rsidRPr="00D51976">
        <w:rPr>
          <w:rFonts w:ascii="標楷體" w:eastAsia="標楷體" w:hAnsi="標楷體"/>
        </w:rPr>
        <w:t>商品事件層出不窮，再加上大眾媒體之傳播，每次都使社會大眾驚恐萬分，人心惶惶。類似事件，周而復始發生，免於食的恐懼，成了各界關切的問題。食品安全問題已越來越受到國人重視。隨著台灣的經濟成長及社會型態的改變，人們願意花更多的錢來追求食品品質的安全性(自由時報，2008)。</w:t>
      </w:r>
    </w:p>
    <w:p w:rsidR="00D51976" w:rsidRPr="00D51976" w:rsidRDefault="00D51976" w:rsidP="00D51976">
      <w:pPr>
        <w:widowControl/>
        <w:snapToGrid w:val="0"/>
        <w:spacing w:beforeLines="50" w:after="100" w:afterAutospacing="1" w:line="440" w:lineRule="exact"/>
        <w:ind w:firstLineChars="200" w:firstLine="480"/>
        <w:jc w:val="both"/>
        <w:rPr>
          <w:rFonts w:ascii="標楷體" w:eastAsia="標楷體" w:hAnsi="標楷體"/>
        </w:rPr>
      </w:pPr>
      <w:r w:rsidRPr="00D51976">
        <w:rPr>
          <w:rFonts w:ascii="標楷體" w:eastAsia="標楷體" w:hAnsi="標楷體"/>
        </w:rPr>
        <w:t>天下雜誌2011年6月474期指出，從三聚</w:t>
      </w:r>
      <w:proofErr w:type="gramStart"/>
      <w:r w:rsidRPr="00D51976">
        <w:rPr>
          <w:rFonts w:ascii="標楷體" w:eastAsia="標楷體" w:hAnsi="標楷體"/>
        </w:rPr>
        <w:t>氰胺到塑化劑</w:t>
      </w:r>
      <w:proofErr w:type="gramEnd"/>
      <w:r w:rsidRPr="00D51976">
        <w:rPr>
          <w:rFonts w:ascii="標楷體" w:eastAsia="標楷體" w:hAnsi="標楷體"/>
        </w:rPr>
        <w:t>，從添加物到真食物，台灣的食品安全全面淪陷，更重創了MIT的形象、瓦解社會的信任。塑化劑對人體健康影響至</w:t>
      </w:r>
      <w:proofErr w:type="gramStart"/>
      <w:r w:rsidRPr="00D51976">
        <w:rPr>
          <w:rFonts w:ascii="標楷體" w:eastAsia="標楷體" w:hAnsi="標楷體"/>
        </w:rPr>
        <w:t>鉅</w:t>
      </w:r>
      <w:proofErr w:type="gramEnd"/>
      <w:r w:rsidRPr="00D51976">
        <w:rPr>
          <w:rFonts w:ascii="標楷體" w:eastAsia="標楷體" w:hAnsi="標楷體"/>
        </w:rPr>
        <w:t>，事件至今仍延燒不斷，應是值得探討之議題。</w:t>
      </w:r>
    </w:p>
    <w:p w:rsidR="00D51976" w:rsidRPr="00D51976" w:rsidRDefault="00D51976" w:rsidP="00D51976">
      <w:pPr>
        <w:widowControl/>
        <w:snapToGrid w:val="0"/>
        <w:spacing w:beforeLines="50" w:after="100" w:afterAutospacing="1" w:line="440" w:lineRule="exact"/>
        <w:ind w:firstLineChars="200" w:firstLine="480"/>
        <w:jc w:val="both"/>
        <w:rPr>
          <w:rFonts w:ascii="標楷體" w:eastAsia="標楷體" w:hAnsi="標楷體"/>
          <w:color w:val="000000"/>
        </w:rPr>
      </w:pPr>
      <w:r w:rsidRPr="00D51976">
        <w:rPr>
          <w:rFonts w:ascii="標楷體" w:eastAsia="標楷體" w:hAnsi="標楷體"/>
        </w:rPr>
        <w:lastRenderedPageBreak/>
        <w:t>根據</w:t>
      </w:r>
      <w:proofErr w:type="gramStart"/>
      <w:r w:rsidRPr="00D51976">
        <w:rPr>
          <w:rFonts w:ascii="標楷體" w:eastAsia="標楷體" w:hAnsi="標楷體"/>
        </w:rPr>
        <w:t>維基百</w:t>
      </w:r>
      <w:proofErr w:type="gramEnd"/>
      <w:r w:rsidRPr="00D51976">
        <w:rPr>
          <w:rFonts w:ascii="標楷體" w:eastAsia="標楷體" w:hAnsi="標楷體"/>
        </w:rPr>
        <w:t>科2011年3月的資料顯示，</w:t>
      </w:r>
      <w:r w:rsidRPr="00D51976">
        <w:rPr>
          <w:rFonts w:ascii="標楷體" w:eastAsia="標楷體" w:hAnsi="標楷體"/>
          <w:color w:val="000000"/>
        </w:rPr>
        <w:t>行政院衛生署食品藥物管理局的楊明玉技正，執行行政院「加強取締偽劣假藥專案」時，意外發現了可疑異常訊號， 再進一步化驗，赫然發現塑化劑DEHP，</w:t>
      </w:r>
      <w:r w:rsidRPr="00D51976">
        <w:rPr>
          <w:rFonts w:ascii="標楷體" w:eastAsia="標楷體" w:hAnsi="標楷體"/>
        </w:rPr>
        <w:t>經過進一步分析，衛生署發現該產品使用的原料-</w:t>
      </w:r>
      <w:proofErr w:type="gramStart"/>
      <w:r w:rsidRPr="00D51976">
        <w:rPr>
          <w:rFonts w:ascii="標楷體" w:eastAsia="標楷體" w:hAnsi="標楷體"/>
        </w:rPr>
        <w:t>優格粉含有</w:t>
      </w:r>
      <w:proofErr w:type="gramEnd"/>
      <w:r w:rsidRPr="00D51976">
        <w:rPr>
          <w:rFonts w:ascii="標楷體" w:eastAsia="標楷體" w:hAnsi="標楷體"/>
        </w:rPr>
        <w:t>DEHP，追查</w:t>
      </w:r>
      <w:proofErr w:type="gramStart"/>
      <w:r w:rsidRPr="00D51976">
        <w:rPr>
          <w:rFonts w:ascii="標楷體" w:eastAsia="標楷體" w:hAnsi="標楷體"/>
        </w:rPr>
        <w:t>優格粉的</w:t>
      </w:r>
      <w:proofErr w:type="gramEnd"/>
      <w:r w:rsidRPr="00D51976">
        <w:rPr>
          <w:rFonts w:ascii="標楷體" w:eastAsia="標楷體" w:hAnsi="標楷體"/>
        </w:rPr>
        <w:t>供應商後，發現原料來自「</w:t>
      </w:r>
      <w:proofErr w:type="gramStart"/>
      <w:r w:rsidRPr="00D51976">
        <w:rPr>
          <w:rFonts w:ascii="標楷體" w:eastAsia="標楷體" w:hAnsi="標楷體"/>
        </w:rPr>
        <w:t>金饌生化</w:t>
      </w:r>
      <w:proofErr w:type="gramEnd"/>
      <w:r w:rsidRPr="00D51976">
        <w:rPr>
          <w:rFonts w:ascii="標楷體" w:eastAsia="標楷體" w:hAnsi="標楷體"/>
        </w:rPr>
        <w:t>科技有限公司」</w:t>
      </w:r>
      <w:r w:rsidRPr="00D51976">
        <w:rPr>
          <w:rFonts w:ascii="標楷體" w:eastAsia="標楷體" w:hAnsi="標楷體"/>
          <w:color w:val="000000"/>
        </w:rPr>
        <w:t>。</w:t>
      </w:r>
      <w:smartTag w:uri="urn:schemas-microsoft-com:office:smarttags" w:element="chsdate">
        <w:smartTagPr>
          <w:attr w:name="IsROCDate" w:val="False"/>
          <w:attr w:name="IsLunarDate" w:val="False"/>
          <w:attr w:name="Day" w:val="16"/>
          <w:attr w:name="Month" w:val="5"/>
          <w:attr w:name="Year" w:val="2011"/>
        </w:smartTagPr>
        <w:r w:rsidRPr="00D51976">
          <w:rPr>
            <w:rFonts w:ascii="標楷體" w:eastAsia="標楷體" w:hAnsi="標楷體"/>
          </w:rPr>
          <w:t>5月16日</w:t>
        </w:r>
      </w:smartTag>
      <w:r w:rsidRPr="00D51976">
        <w:rPr>
          <w:rFonts w:ascii="標楷體" w:eastAsia="標楷體" w:hAnsi="標楷體"/>
        </w:rPr>
        <w:t>確認</w:t>
      </w:r>
      <w:proofErr w:type="gramStart"/>
      <w:r w:rsidRPr="00D51976">
        <w:rPr>
          <w:rFonts w:ascii="標楷體" w:eastAsia="標楷體" w:hAnsi="標楷體"/>
        </w:rPr>
        <w:t>金饌的起雲劑購</w:t>
      </w:r>
      <w:proofErr w:type="gramEnd"/>
      <w:r w:rsidRPr="00D51976">
        <w:rPr>
          <w:rFonts w:ascii="標楷體" w:eastAsia="標楷體" w:hAnsi="標楷體"/>
        </w:rPr>
        <w:t>自「</w:t>
      </w:r>
      <w:proofErr w:type="gramStart"/>
      <w:r w:rsidRPr="00D51976">
        <w:rPr>
          <w:rFonts w:ascii="標楷體" w:eastAsia="標楷體" w:hAnsi="標楷體"/>
        </w:rPr>
        <w:t>昱</w:t>
      </w:r>
      <w:proofErr w:type="gramEnd"/>
      <w:r w:rsidRPr="00D51976">
        <w:rPr>
          <w:rFonts w:ascii="標楷體" w:eastAsia="標楷體" w:hAnsi="標楷體"/>
        </w:rPr>
        <w:t>伸香料有限公司」(</w:t>
      </w:r>
      <w:r w:rsidRPr="00D51976">
        <w:rPr>
          <w:rFonts w:ascii="標楷體" w:eastAsia="標楷體" w:hAnsi="標楷體"/>
          <w:color w:val="000000"/>
        </w:rPr>
        <w:t>中央社，2011)。</w:t>
      </w:r>
      <w:smartTag w:uri="urn:schemas-microsoft-com:office:smarttags" w:element="chsdate">
        <w:smartTagPr>
          <w:attr w:name="IsROCDate" w:val="False"/>
          <w:attr w:name="IsLunarDate" w:val="False"/>
          <w:attr w:name="Day" w:val="19"/>
          <w:attr w:name="Month" w:val="5"/>
          <w:attr w:name="Year" w:val="2011"/>
        </w:smartTagPr>
        <w:r w:rsidRPr="00D51976">
          <w:rPr>
            <w:rFonts w:ascii="標楷體" w:eastAsia="標楷體" w:hAnsi="標楷體"/>
            <w:color w:val="000000"/>
          </w:rPr>
          <w:t>5月19日</w:t>
        </w:r>
      </w:smartTag>
      <w:r w:rsidRPr="00D51976">
        <w:rPr>
          <w:rFonts w:ascii="標楷體" w:eastAsia="標楷體" w:hAnsi="標楷體"/>
          <w:color w:val="000000"/>
        </w:rPr>
        <w:t>移送檢方調查，接著從</w:t>
      </w:r>
      <w:proofErr w:type="gramStart"/>
      <w:r w:rsidRPr="00D51976">
        <w:rPr>
          <w:rFonts w:ascii="標楷體" w:eastAsia="標楷體" w:hAnsi="標楷體"/>
          <w:color w:val="000000"/>
        </w:rPr>
        <w:t>昱伸追</w:t>
      </w:r>
      <w:proofErr w:type="gramEnd"/>
      <w:r w:rsidRPr="00D51976">
        <w:rPr>
          <w:rFonts w:ascii="標楷體" w:eastAsia="標楷體" w:hAnsi="標楷體"/>
          <w:color w:val="000000"/>
        </w:rPr>
        <w:t>出更多使用含塑化劑DEHP的</w:t>
      </w:r>
      <w:proofErr w:type="gramStart"/>
      <w:r w:rsidRPr="00D51976">
        <w:rPr>
          <w:rFonts w:ascii="標楷體" w:eastAsia="標楷體" w:hAnsi="標楷體"/>
          <w:color w:val="000000"/>
        </w:rPr>
        <w:t>起雲劑下游</w:t>
      </w:r>
      <w:proofErr w:type="gramEnd"/>
      <w:r w:rsidRPr="00D51976">
        <w:rPr>
          <w:rFonts w:ascii="標楷體" w:eastAsia="標楷體" w:hAnsi="標楷體"/>
          <w:color w:val="000000"/>
        </w:rPr>
        <w:t>廠商(自由電子報，2011)。時至2011年6月，相關產品仍不斷被檢驗出含有塑化劑(今日新聞網，2011)。</w:t>
      </w:r>
    </w:p>
    <w:p w:rsidR="00D51976" w:rsidRPr="00D51976" w:rsidRDefault="00D51976" w:rsidP="00D51976">
      <w:pPr>
        <w:widowControl/>
        <w:snapToGrid w:val="0"/>
        <w:spacing w:beforeLines="50" w:after="100" w:afterAutospacing="1" w:line="440" w:lineRule="exact"/>
        <w:ind w:firstLineChars="200" w:firstLine="480"/>
        <w:jc w:val="both"/>
        <w:rPr>
          <w:rFonts w:ascii="標楷體" w:eastAsia="標楷體" w:hAnsi="標楷體"/>
        </w:rPr>
      </w:pPr>
      <w:r w:rsidRPr="00D51976">
        <w:rPr>
          <w:rFonts w:ascii="標楷體" w:eastAsia="標楷體" w:hAnsi="標楷體"/>
          <w:color w:val="000000"/>
          <w:kern w:val="0"/>
        </w:rPr>
        <w:t>塑化劑風暴席捲全台，從一開始的飲料及粉劑、</w:t>
      </w:r>
      <w:proofErr w:type="gramStart"/>
      <w:r w:rsidRPr="00D51976">
        <w:rPr>
          <w:rFonts w:ascii="標楷體" w:eastAsia="標楷體" w:hAnsi="標楷體"/>
          <w:color w:val="000000"/>
          <w:kern w:val="0"/>
        </w:rPr>
        <w:t>錠劑等</w:t>
      </w:r>
      <w:proofErr w:type="gramEnd"/>
      <w:r w:rsidRPr="00D51976">
        <w:rPr>
          <w:rFonts w:ascii="標楷體" w:eastAsia="標楷體" w:hAnsi="標楷體"/>
          <w:color w:val="000000"/>
          <w:kern w:val="0"/>
        </w:rPr>
        <w:t>食品，吹向糕餅烘焙業，越來越多食品可能受到污染，引起各界恐慌。</w:t>
      </w:r>
      <w:bookmarkStart w:id="6" w:name="_Toc304729043"/>
      <w:bookmarkStart w:id="7" w:name="_Toc304906532"/>
    </w:p>
    <w:p w:rsidR="00D51976" w:rsidRPr="00D51976" w:rsidRDefault="00D51976" w:rsidP="00D51976">
      <w:pPr>
        <w:snapToGrid w:val="0"/>
        <w:spacing w:beforeLines="50" w:line="440" w:lineRule="exact"/>
        <w:jc w:val="center"/>
        <w:outlineLvl w:val="1"/>
        <w:rPr>
          <w:rFonts w:ascii="標楷體" w:eastAsia="標楷體" w:hAnsi="標楷體"/>
          <w:b/>
        </w:rPr>
      </w:pPr>
      <w:bookmarkStart w:id="8" w:name="_Toc322478186"/>
      <w:bookmarkStart w:id="9" w:name="_Toc323828522"/>
      <w:r w:rsidRPr="00D51976">
        <w:rPr>
          <w:rFonts w:ascii="標楷體" w:eastAsia="標楷體" w:hAnsi="標楷體"/>
          <w:b/>
        </w:rPr>
        <w:t>第二節  研究動機</w:t>
      </w:r>
      <w:bookmarkEnd w:id="6"/>
      <w:bookmarkEnd w:id="7"/>
      <w:bookmarkEnd w:id="8"/>
      <w:bookmarkEnd w:id="9"/>
    </w:p>
    <w:p w:rsidR="00D51976" w:rsidRPr="00D51976" w:rsidRDefault="00D51976" w:rsidP="00D51976">
      <w:pPr>
        <w:pStyle w:val="Web"/>
        <w:snapToGrid w:val="0"/>
        <w:spacing w:beforeLines="50" w:beforeAutospacing="0" w:line="440" w:lineRule="exact"/>
        <w:ind w:firstLineChars="200" w:firstLine="480"/>
        <w:jc w:val="both"/>
        <w:rPr>
          <w:rFonts w:ascii="標楷體" w:eastAsia="標楷體" w:hAnsi="標楷體" w:cs="Times New Roman"/>
        </w:rPr>
      </w:pPr>
      <w:r w:rsidRPr="00D51976">
        <w:rPr>
          <w:rFonts w:ascii="標楷體" w:eastAsia="標楷體" w:hAnsi="標楷體" w:cs="Times New Roman"/>
        </w:rPr>
        <w:t>根據行政院衛生署統計，截至2011年7月20日，受到塑化劑污染的產品高達1060筆，消費者對食品原料商的信心大打折扣。目前雖然各家都紛紛提出6項毒塑化物檢驗證明，但20年的毒害怎是一張檢驗單可挽回信心?況且沒有一個單位或團體能保證，這些原料商若干年後是否會再犯，所以消費者只有改變消費型態及消費行為來自保。</w:t>
      </w:r>
    </w:p>
    <w:p w:rsidR="00D51976" w:rsidRPr="00D51976" w:rsidRDefault="00D51976" w:rsidP="00D51976">
      <w:pPr>
        <w:pStyle w:val="Web"/>
        <w:snapToGrid w:val="0"/>
        <w:spacing w:beforeLines="50" w:beforeAutospacing="0" w:line="440" w:lineRule="exact"/>
        <w:ind w:firstLineChars="200" w:firstLine="480"/>
        <w:jc w:val="both"/>
        <w:rPr>
          <w:rFonts w:ascii="標楷體" w:eastAsia="標楷體" w:hAnsi="標楷體" w:cs="Times New Roman"/>
        </w:rPr>
      </w:pPr>
      <w:r w:rsidRPr="00D51976">
        <w:rPr>
          <w:rFonts w:ascii="標楷體" w:eastAsia="標楷體" w:hAnsi="標楷體" w:cs="Times New Roman"/>
        </w:rPr>
        <w:t>根據</w:t>
      </w:r>
      <w:r w:rsidRPr="00D51976">
        <w:rPr>
          <w:rStyle w:val="info"/>
          <w:rFonts w:ascii="標楷體" w:eastAsia="標楷體" w:hAnsi="標楷體" w:cs="Times New Roman"/>
        </w:rPr>
        <w:t>蘋果日報</w:t>
      </w:r>
      <w:smartTag w:uri="urn:schemas-microsoft-com:office:smarttags" w:element="chsdate">
        <w:smartTagPr>
          <w:attr w:name="IsROCDate" w:val="False"/>
          <w:attr w:name="IsLunarDate" w:val="False"/>
          <w:attr w:name="Day" w:val="05"/>
          <w:attr w:name="Month" w:val="06"/>
          <w:attr w:name="Year" w:val="2011"/>
        </w:smartTagPr>
        <w:r w:rsidRPr="00D51976">
          <w:rPr>
            <w:rStyle w:val="info"/>
            <w:rFonts w:ascii="標楷體" w:eastAsia="標楷體" w:hAnsi="標楷體" w:cs="Times New Roman"/>
          </w:rPr>
          <w:t>2011年06月05日</w:t>
        </w:r>
      </w:smartTag>
      <w:r w:rsidRPr="00D51976">
        <w:rPr>
          <w:rStyle w:val="info"/>
          <w:rFonts w:ascii="標楷體" w:eastAsia="標楷體" w:hAnsi="標楷體" w:cs="Times New Roman"/>
        </w:rPr>
        <w:t>的報導</w:t>
      </w:r>
      <w:r w:rsidRPr="00D51976">
        <w:rPr>
          <w:rFonts w:ascii="標楷體" w:eastAsia="標楷體" w:hAnsi="標楷體" w:cs="Times New Roman"/>
        </w:rPr>
        <w:t>，全台壟罩在塑化劑毒風波下，</w:t>
      </w:r>
      <w:r w:rsidRPr="00D51976">
        <w:rPr>
          <w:rFonts w:ascii="標楷體" w:eastAsia="標楷體" w:hAnsi="標楷體" w:cs="Times New Roman"/>
          <w:color w:val="000000"/>
        </w:rPr>
        <w:t>民眾對飲料</w:t>
      </w:r>
      <w:r w:rsidRPr="00D51976">
        <w:rPr>
          <w:rFonts w:ascii="標楷體" w:eastAsia="標楷體" w:hAnsi="標楷體" w:cs="Times New Roman"/>
        </w:rPr>
        <w:t>退避三舍，改喝現</w:t>
      </w:r>
      <w:proofErr w:type="gramStart"/>
      <w:r w:rsidRPr="00D51976">
        <w:rPr>
          <w:rFonts w:ascii="標楷體" w:eastAsia="標楷體" w:hAnsi="標楷體" w:cs="Times New Roman"/>
        </w:rPr>
        <w:t>榨</w:t>
      </w:r>
      <w:proofErr w:type="gramEnd"/>
      <w:r w:rsidRPr="00D51976">
        <w:rPr>
          <w:rFonts w:ascii="標楷體" w:eastAsia="標楷體" w:hAnsi="標楷體" w:cs="Times New Roman"/>
        </w:rPr>
        <w:t>果汁與吃新鮮水果，帶動水</w:t>
      </w:r>
      <w:r w:rsidRPr="00D51976">
        <w:rPr>
          <w:rFonts w:ascii="標楷體" w:eastAsia="標楷體" w:hAnsi="標楷體" w:cs="Times New Roman"/>
          <w:color w:val="000000"/>
        </w:rPr>
        <w:t>果價格</w:t>
      </w:r>
      <w:proofErr w:type="gramStart"/>
      <w:r w:rsidRPr="00D51976">
        <w:rPr>
          <w:rFonts w:ascii="標楷體" w:eastAsia="標楷體" w:hAnsi="標楷體" w:cs="Times New Roman"/>
        </w:rPr>
        <w:t>飆</w:t>
      </w:r>
      <w:proofErr w:type="gramEnd"/>
      <w:r w:rsidRPr="00D51976">
        <w:rPr>
          <w:rFonts w:ascii="標楷體" w:eastAsia="標楷體" w:hAnsi="標楷體" w:cs="Times New Roman"/>
        </w:rPr>
        <w:t>漲，這些改變將讓飲料業受到嚴重打擊。雖然消費者因受到此一事件影響而改變了其消費型態，然而消費者對於塑化劑的警惕程度是否具備一定知覺?對所欲購買的食物，是否願意深入了解其可能受污染的程度?其購買意願是否因而改變了?促成本研究動機之</w:t>
      </w:r>
      <w:proofErr w:type="gramStart"/>
      <w:r w:rsidRPr="00D51976">
        <w:rPr>
          <w:rFonts w:ascii="標楷體" w:eastAsia="標楷體" w:hAnsi="標楷體" w:cs="Times New Roman"/>
        </w:rPr>
        <w:t>一</w:t>
      </w:r>
      <w:proofErr w:type="gramEnd"/>
      <w:r w:rsidRPr="00D51976">
        <w:rPr>
          <w:rFonts w:ascii="標楷體" w:eastAsia="標楷體" w:hAnsi="標楷體" w:cs="Times New Roman"/>
        </w:rPr>
        <w:t>。</w:t>
      </w:r>
    </w:p>
    <w:p w:rsidR="00D51976" w:rsidRDefault="00D51976" w:rsidP="00D51976">
      <w:pPr>
        <w:pStyle w:val="Web"/>
        <w:snapToGrid w:val="0"/>
        <w:spacing w:beforeLines="50" w:beforeAutospacing="0" w:line="440" w:lineRule="exact"/>
        <w:ind w:firstLineChars="200" w:firstLine="480"/>
        <w:jc w:val="both"/>
        <w:rPr>
          <w:rFonts w:ascii="標楷體" w:eastAsia="標楷體" w:hAnsi="標楷體" w:cs="Times New Roman" w:hint="eastAsia"/>
        </w:rPr>
      </w:pPr>
      <w:r w:rsidRPr="00D51976">
        <w:rPr>
          <w:rFonts w:ascii="標楷體" w:eastAsia="標楷體" w:hAnsi="標楷體" w:cs="Times New Roman"/>
        </w:rPr>
        <w:t>黃冠維(2010)「民眾有機食品認知、知覺風險對購買意願影響之研究」</w:t>
      </w:r>
      <w:proofErr w:type="gramStart"/>
      <w:r w:rsidRPr="00D51976">
        <w:rPr>
          <w:rFonts w:ascii="標楷體" w:eastAsia="標楷體" w:hAnsi="標楷體" w:cs="Times New Roman"/>
        </w:rPr>
        <w:t>一</w:t>
      </w:r>
      <w:proofErr w:type="gramEnd"/>
      <w:r w:rsidRPr="00D51976">
        <w:rPr>
          <w:rFonts w:ascii="標楷體" w:eastAsia="標楷體" w:hAnsi="標楷體" w:cs="Times New Roman"/>
        </w:rPr>
        <w:t>文中發現民眾對有機食品的產品涉入與其購買意願有正向關係。然而若研究標的產品改為受塑化劑影響之食品，民眾對於受塑化劑影響的產品涉入越高，其購買意願是否仍存在此一正向關係，此議題為本研究所欲探討的動機之二。</w:t>
      </w:r>
    </w:p>
    <w:p w:rsidR="00D51976" w:rsidRPr="00D51976" w:rsidRDefault="00D51976" w:rsidP="00D51976">
      <w:pPr>
        <w:pStyle w:val="Web"/>
        <w:snapToGrid w:val="0"/>
        <w:spacing w:beforeLines="50" w:beforeAutospacing="0" w:line="440" w:lineRule="exact"/>
        <w:ind w:firstLineChars="200" w:firstLine="480"/>
        <w:jc w:val="both"/>
        <w:rPr>
          <w:rFonts w:ascii="標楷體" w:eastAsia="標楷體" w:hAnsi="標楷體" w:cs="Times New Roman"/>
        </w:rPr>
      </w:pPr>
      <w:r w:rsidRPr="00D51976">
        <w:rPr>
          <w:rFonts w:ascii="標楷體" w:eastAsia="標楷體" w:hAnsi="標楷體" w:cs="Times New Roman"/>
        </w:rPr>
        <w:lastRenderedPageBreak/>
        <w:t>詹琇蓉(2000)指出消費者</w:t>
      </w:r>
      <w:proofErr w:type="gramStart"/>
      <w:r w:rsidRPr="00D51976">
        <w:rPr>
          <w:rFonts w:ascii="標楷體" w:eastAsia="標楷體" w:hAnsi="標楷體" w:cs="Times New Roman"/>
        </w:rPr>
        <w:t>對高涉入</w:t>
      </w:r>
      <w:proofErr w:type="gramEnd"/>
      <w:r w:rsidRPr="00D51976">
        <w:rPr>
          <w:rFonts w:ascii="標楷體" w:eastAsia="標楷體" w:hAnsi="標楷體" w:cs="Times New Roman"/>
        </w:rPr>
        <w:t>程度產品所感受到的各種知覺風險，皆顯著的</w:t>
      </w:r>
      <w:proofErr w:type="gramStart"/>
      <w:r w:rsidRPr="00D51976">
        <w:rPr>
          <w:rFonts w:ascii="標楷體" w:eastAsia="標楷體" w:hAnsi="標楷體" w:cs="Times New Roman"/>
        </w:rPr>
        <w:t>高於低涉入</w:t>
      </w:r>
      <w:proofErr w:type="gramEnd"/>
      <w:r w:rsidRPr="00D51976">
        <w:rPr>
          <w:rFonts w:ascii="標楷體" w:eastAsia="標楷體" w:hAnsi="標楷體" w:cs="Times New Roman"/>
        </w:rPr>
        <w:t>程度產品。而經過塑化劑事件之後，消費者對相關產品之涉入程度與其知覺風險是否亦成正向關係，此為本研究動機之</w:t>
      </w:r>
      <w:proofErr w:type="gramStart"/>
      <w:r w:rsidRPr="00D51976">
        <w:rPr>
          <w:rFonts w:ascii="標楷體" w:eastAsia="標楷體" w:hAnsi="標楷體" w:cs="Times New Roman"/>
        </w:rPr>
        <w:t>三</w:t>
      </w:r>
      <w:proofErr w:type="gramEnd"/>
      <w:r w:rsidRPr="00D51976">
        <w:rPr>
          <w:rFonts w:ascii="標楷體" w:eastAsia="標楷體" w:hAnsi="標楷體" w:cs="Times New Roman"/>
        </w:rPr>
        <w:t>。</w:t>
      </w:r>
    </w:p>
    <w:p w:rsidR="00D51976" w:rsidRPr="00D51976" w:rsidRDefault="00D51976" w:rsidP="00D51976">
      <w:pPr>
        <w:pStyle w:val="Web"/>
        <w:snapToGrid w:val="0"/>
        <w:spacing w:beforeLines="50" w:beforeAutospacing="0" w:line="440" w:lineRule="exact"/>
        <w:ind w:firstLineChars="200" w:firstLine="480"/>
        <w:jc w:val="both"/>
        <w:rPr>
          <w:rFonts w:ascii="標楷體" w:eastAsia="標楷體" w:hAnsi="標楷體" w:cs="Times New Roman"/>
        </w:rPr>
      </w:pPr>
      <w:proofErr w:type="gramStart"/>
      <w:r w:rsidRPr="00D51976">
        <w:rPr>
          <w:rFonts w:ascii="標楷體" w:eastAsia="標楷體" w:hAnsi="標楷體" w:cs="Times New Roman"/>
        </w:rPr>
        <w:t>焦經隆</w:t>
      </w:r>
      <w:proofErr w:type="gramEnd"/>
      <w:r w:rsidRPr="00D51976">
        <w:rPr>
          <w:rFonts w:ascii="標楷體" w:eastAsia="標楷體" w:hAnsi="標楷體" w:cs="Times New Roman"/>
        </w:rPr>
        <w:t>(2003)「</w:t>
      </w:r>
      <w:r w:rsidRPr="00D51976">
        <w:rPr>
          <w:rFonts w:ascii="標楷體" w:eastAsia="標楷體" w:hAnsi="標楷體" w:cs="Times New Roman"/>
          <w:color w:val="000000"/>
        </w:rPr>
        <w:t>女性消費者產品涉入對知覺風險、資訊搜尋及散佈之</w:t>
      </w:r>
      <w:proofErr w:type="gramStart"/>
      <w:r w:rsidRPr="00D51976">
        <w:rPr>
          <w:rFonts w:ascii="標楷體" w:eastAsia="標楷體" w:hAnsi="標楷體" w:cs="Times New Roman"/>
          <w:color w:val="000000"/>
        </w:rPr>
        <w:t>影響－以</w:t>
      </w:r>
      <w:proofErr w:type="gramEnd"/>
      <w:r w:rsidRPr="00D51976">
        <w:rPr>
          <w:rFonts w:ascii="標楷體" w:eastAsia="標楷體" w:hAnsi="標楷體" w:cs="Times New Roman"/>
          <w:color w:val="000000"/>
        </w:rPr>
        <w:t>『健康食品』為例</w:t>
      </w:r>
      <w:r w:rsidRPr="00D51976">
        <w:rPr>
          <w:rFonts w:ascii="標楷體" w:eastAsia="標楷體" w:hAnsi="標楷體" w:cs="Times New Roman"/>
        </w:rPr>
        <w:t>」</w:t>
      </w:r>
      <w:proofErr w:type="gramStart"/>
      <w:r w:rsidRPr="00D51976">
        <w:rPr>
          <w:rFonts w:ascii="標楷體" w:eastAsia="標楷體" w:hAnsi="標楷體" w:cs="Times New Roman"/>
          <w:color w:val="000000"/>
        </w:rPr>
        <w:t>一</w:t>
      </w:r>
      <w:proofErr w:type="gramEnd"/>
      <w:r w:rsidRPr="00D51976">
        <w:rPr>
          <w:rFonts w:ascii="標楷體" w:eastAsia="標楷體" w:hAnsi="標楷體" w:cs="Times New Roman"/>
          <w:color w:val="000000"/>
        </w:rPr>
        <w:t>文中發現知覺風險與購買意願存在著正向關係</w:t>
      </w:r>
      <w:r w:rsidRPr="00D51976">
        <w:rPr>
          <w:rFonts w:ascii="標楷體" w:eastAsia="標楷體" w:hAnsi="標楷體" w:cs="Times New Roman"/>
        </w:rPr>
        <w:t>，然而塑化劑對人體健康影響至</w:t>
      </w:r>
      <w:proofErr w:type="gramStart"/>
      <w:r w:rsidRPr="00D51976">
        <w:rPr>
          <w:rFonts w:ascii="標楷體" w:eastAsia="標楷體" w:hAnsi="標楷體" w:cs="Times New Roman"/>
        </w:rPr>
        <w:t>鉅</w:t>
      </w:r>
      <w:proofErr w:type="gramEnd"/>
      <w:r w:rsidRPr="00D51976">
        <w:rPr>
          <w:rFonts w:ascii="標楷體" w:eastAsia="標楷體" w:hAnsi="標楷體" w:cs="Times New Roman"/>
        </w:rPr>
        <w:t>，對於幼兒之潛在危害及男性生殖能力方面亦有相當大的影響，此事件是否提高了消費者對食品安全方面的知覺風險?而此事件過後，消費者的知覺風險與購買意願是否仍然存在正向關係?此為本研究動機之四。</w:t>
      </w:r>
    </w:p>
    <w:p w:rsidR="00D51976" w:rsidRPr="00D51976" w:rsidRDefault="00D51976" w:rsidP="00D51976">
      <w:pPr>
        <w:pStyle w:val="Web"/>
        <w:snapToGrid w:val="0"/>
        <w:spacing w:beforeLines="50" w:beforeAutospacing="0" w:line="440" w:lineRule="exact"/>
        <w:ind w:firstLineChars="200" w:firstLine="480"/>
        <w:jc w:val="both"/>
        <w:rPr>
          <w:rFonts w:ascii="標楷體" w:eastAsia="標楷體" w:hAnsi="標楷體" w:cs="Times New Roman"/>
        </w:rPr>
      </w:pPr>
      <w:r w:rsidRPr="00D51976">
        <w:rPr>
          <w:rFonts w:ascii="標楷體" w:eastAsia="標楷體" w:hAnsi="標楷體" w:cs="Times New Roman"/>
        </w:rPr>
        <w:t>隨著塑化劑事件越演越烈，在媒體報導不斷的追逐之下，消費者是否提高了對食品安全的認知及相關食品的涉入?而想要了解消費者最終的購買意願可以從心理層面的知覺風險來著手。依據文獻搜集、多數研究</w:t>
      </w:r>
      <w:proofErr w:type="gramStart"/>
      <w:r w:rsidRPr="00D51976">
        <w:rPr>
          <w:rFonts w:ascii="標楷體" w:eastAsia="標楷體" w:hAnsi="標楷體" w:cs="Times New Roman"/>
        </w:rPr>
        <w:t>均著</w:t>
      </w:r>
      <w:proofErr w:type="gramEnd"/>
      <w:r w:rsidRPr="00D51976">
        <w:rPr>
          <w:rFonts w:ascii="標楷體" w:eastAsia="標楷體" w:hAnsi="標楷體" w:cs="Times New Roman"/>
        </w:rPr>
        <w:t>墨於有機食品、健康食品或一般食品，尚未有學者對有可能受塑化劑污染之有疑慮食品作進一步探究，因此為了更進一步了解消費者的消費行為，本研究將檢視民眾對於此一事件之認知與消費者的產品涉入及其知覺風險是否影響其購買意願。</w:t>
      </w:r>
    </w:p>
    <w:p w:rsidR="00D51976" w:rsidRPr="00D51976" w:rsidRDefault="00D51976" w:rsidP="00D51976">
      <w:pPr>
        <w:snapToGrid w:val="0"/>
        <w:spacing w:beforeLines="50" w:line="440" w:lineRule="exact"/>
        <w:jc w:val="center"/>
        <w:outlineLvl w:val="1"/>
        <w:rPr>
          <w:rFonts w:ascii="標楷體" w:eastAsia="標楷體" w:hAnsi="標楷體"/>
          <w:b/>
        </w:rPr>
      </w:pPr>
      <w:bookmarkStart w:id="10" w:name="_Toc304729044"/>
      <w:bookmarkStart w:id="11" w:name="_Toc304906533"/>
      <w:bookmarkStart w:id="12" w:name="_Toc322478187"/>
      <w:bookmarkStart w:id="13" w:name="_Toc323828523"/>
      <w:r w:rsidRPr="00D51976">
        <w:rPr>
          <w:rFonts w:ascii="標楷體" w:eastAsia="標楷體" w:hAnsi="標楷體"/>
          <w:b/>
        </w:rPr>
        <w:t>第三節  研究目的</w:t>
      </w:r>
      <w:bookmarkEnd w:id="10"/>
      <w:bookmarkEnd w:id="11"/>
      <w:bookmarkEnd w:id="12"/>
      <w:bookmarkEnd w:id="13"/>
    </w:p>
    <w:p w:rsidR="00D51976" w:rsidRPr="00D51976" w:rsidRDefault="00D51976" w:rsidP="00D51976">
      <w:pPr>
        <w:snapToGrid w:val="0"/>
        <w:spacing w:beforeLines="50" w:line="440" w:lineRule="exact"/>
        <w:ind w:firstLineChars="200" w:firstLine="480"/>
        <w:jc w:val="both"/>
        <w:rPr>
          <w:rFonts w:ascii="標楷體" w:eastAsia="標楷體" w:hAnsi="標楷體"/>
        </w:rPr>
      </w:pPr>
      <w:r w:rsidRPr="00D51976">
        <w:rPr>
          <w:rFonts w:ascii="標楷體" w:eastAsia="標楷體" w:hAnsi="標楷體"/>
        </w:rPr>
        <w:t>根據上述之研究動機，本研究期望透過消費者對產品的涉入程度及其知覺風險導致之某種無法預期的不確定感，在受塑化劑事件波及之餘，探討對消費者購買意願所造成之影響。</w:t>
      </w:r>
    </w:p>
    <w:p w:rsidR="00D51976" w:rsidRPr="00D51976" w:rsidRDefault="00D51976" w:rsidP="00D51976">
      <w:pPr>
        <w:snapToGrid w:val="0"/>
        <w:spacing w:beforeLines="50" w:line="440" w:lineRule="exact"/>
        <w:ind w:firstLineChars="250" w:firstLine="600"/>
        <w:jc w:val="both"/>
        <w:rPr>
          <w:rFonts w:ascii="標楷體" w:eastAsia="標楷體" w:hAnsi="標楷體"/>
        </w:rPr>
      </w:pPr>
      <w:r w:rsidRPr="00D51976">
        <w:rPr>
          <w:rFonts w:ascii="標楷體" w:eastAsia="標楷體" w:hAnsi="標楷體"/>
        </w:rPr>
        <w:t>依據上述動機，本研究之目的如下：</w:t>
      </w:r>
    </w:p>
    <w:p w:rsidR="00D51976" w:rsidRPr="00D51976" w:rsidRDefault="00D51976" w:rsidP="00D51976">
      <w:pPr>
        <w:snapToGrid w:val="0"/>
        <w:spacing w:beforeLines="50" w:line="440" w:lineRule="exact"/>
        <w:jc w:val="both"/>
        <w:rPr>
          <w:rFonts w:ascii="標楷體" w:eastAsia="標楷體" w:hAnsi="標楷體"/>
        </w:rPr>
      </w:pPr>
      <w:r w:rsidRPr="00D51976">
        <w:rPr>
          <w:rFonts w:ascii="標楷體" w:eastAsia="標楷體" w:hAnsi="標楷體"/>
        </w:rPr>
        <w:t>一、探討塑化劑事件之後，消費者之產品涉入程度與其購買意願之關係。</w:t>
      </w:r>
    </w:p>
    <w:p w:rsidR="00D51976" w:rsidRPr="00D51976" w:rsidRDefault="00D51976" w:rsidP="00D51976">
      <w:pPr>
        <w:snapToGrid w:val="0"/>
        <w:spacing w:beforeLines="50" w:line="440" w:lineRule="exact"/>
        <w:jc w:val="both"/>
        <w:rPr>
          <w:rFonts w:ascii="標楷體" w:eastAsia="標楷體" w:hAnsi="標楷體"/>
        </w:rPr>
      </w:pPr>
      <w:r w:rsidRPr="00D51976">
        <w:rPr>
          <w:rFonts w:ascii="標楷體" w:eastAsia="標楷體" w:hAnsi="標楷體"/>
        </w:rPr>
        <w:t>二、探討塑化劑事件之後，消費者之產品涉入程度與其知覺風險之關係。</w:t>
      </w:r>
    </w:p>
    <w:p w:rsidR="00D51976" w:rsidRDefault="00D51976" w:rsidP="00D51976">
      <w:pPr>
        <w:snapToGrid w:val="0"/>
        <w:spacing w:beforeLines="50" w:line="440" w:lineRule="exact"/>
        <w:jc w:val="both"/>
        <w:rPr>
          <w:rFonts w:ascii="標楷體" w:eastAsia="標楷體" w:hAnsi="標楷體" w:hint="eastAsia"/>
        </w:rPr>
      </w:pPr>
      <w:r w:rsidRPr="00D51976">
        <w:rPr>
          <w:rFonts w:ascii="標楷體" w:eastAsia="標楷體" w:hAnsi="標楷體"/>
        </w:rPr>
        <w:t>三、探討塑化劑事件之後，消費者之知覺風險與其購買意願之關係。</w:t>
      </w:r>
      <w:bookmarkStart w:id="14" w:name="_Toc304729045"/>
      <w:bookmarkStart w:id="15" w:name="_Toc304906534"/>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Pr="00D51976" w:rsidRDefault="00D51976" w:rsidP="00D51976">
      <w:pPr>
        <w:snapToGrid w:val="0"/>
        <w:spacing w:beforeLines="50" w:line="440" w:lineRule="exact"/>
        <w:jc w:val="both"/>
        <w:outlineLvl w:val="1"/>
        <w:rPr>
          <w:rFonts w:ascii="標楷體" w:eastAsia="標楷體" w:hAnsi="標楷體"/>
          <w:b/>
        </w:rPr>
      </w:pPr>
    </w:p>
    <w:p w:rsidR="00D51976" w:rsidRPr="00D51976" w:rsidRDefault="00D51976" w:rsidP="00D51976">
      <w:pPr>
        <w:snapToGrid w:val="0"/>
        <w:spacing w:beforeLines="50" w:line="440" w:lineRule="exact"/>
        <w:jc w:val="both"/>
        <w:outlineLvl w:val="1"/>
        <w:rPr>
          <w:rFonts w:ascii="標楷體" w:eastAsia="標楷體" w:hAnsi="標楷體"/>
          <w:b/>
        </w:rPr>
      </w:pPr>
      <w:bookmarkStart w:id="16" w:name="_Toc322478188"/>
      <w:bookmarkStart w:id="17" w:name="_Toc323828524"/>
      <w:r w:rsidRPr="00D51976">
        <w:rPr>
          <w:rFonts w:ascii="標楷體" w:eastAsia="標楷體" w:hAnsi="標楷體"/>
          <w:b/>
        </w:rPr>
        <w:lastRenderedPageBreak/>
        <w:t>第四節  研究流程</w:t>
      </w:r>
      <w:bookmarkEnd w:id="14"/>
      <w:bookmarkEnd w:id="15"/>
      <w:bookmarkEnd w:id="16"/>
      <w:bookmarkEnd w:id="17"/>
    </w:p>
    <w:p w:rsidR="00D51976" w:rsidRPr="00D51976" w:rsidRDefault="00D51976" w:rsidP="00D51976">
      <w:pPr>
        <w:snapToGrid w:val="0"/>
        <w:spacing w:beforeLines="50" w:line="440" w:lineRule="exact"/>
        <w:jc w:val="both"/>
        <w:rPr>
          <w:rFonts w:ascii="標楷體" w:eastAsia="標楷體" w:hAnsi="標楷體"/>
        </w:rPr>
      </w:pPr>
      <w:r w:rsidRPr="00D51976">
        <w:rPr>
          <w:rFonts w:ascii="標楷體" w:eastAsia="標楷體" w:hAnsi="標楷體"/>
        </w:rPr>
        <w:t>決定研究方向後，擬定本研究主題與目的，並針對研究主題蒐集文獻。開始建立架構與假設，並設計問卷的發放與回收，著手分析相關資料數據，最後提出結論與建議。本研究流程如下圖1-1所示。</w:t>
      </w:r>
    </w:p>
    <w:p w:rsidR="00D51976" w:rsidRPr="00D51976" w:rsidRDefault="00D51976" w:rsidP="00D51976">
      <w:pPr>
        <w:pStyle w:val="a3"/>
        <w:spacing w:line="440" w:lineRule="exact"/>
        <w:rPr>
          <w:sz w:val="24"/>
        </w:rPr>
      </w:pPr>
      <w:bookmarkStart w:id="18" w:name="_Toc304729046"/>
      <w:bookmarkStart w:id="19" w:name="_Toc304906535"/>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Default="00D51976" w:rsidP="00D51976">
      <w:pPr>
        <w:snapToGrid w:val="0"/>
        <w:spacing w:beforeLines="50" w:line="440" w:lineRule="exact"/>
        <w:jc w:val="both"/>
        <w:outlineLvl w:val="1"/>
        <w:rPr>
          <w:rFonts w:ascii="標楷體" w:eastAsia="標楷體" w:hAnsi="標楷體" w:hint="eastAsia"/>
        </w:rPr>
      </w:pPr>
    </w:p>
    <w:p w:rsidR="00D51976" w:rsidRPr="00D51976" w:rsidRDefault="00D51976" w:rsidP="00D51976">
      <w:pPr>
        <w:snapToGrid w:val="0"/>
        <w:spacing w:beforeLines="50" w:line="440" w:lineRule="exact"/>
        <w:jc w:val="both"/>
        <w:outlineLvl w:val="1"/>
        <w:rPr>
          <w:rFonts w:ascii="標楷體" w:eastAsia="標楷體" w:hAnsi="標楷體"/>
        </w:rPr>
      </w:pPr>
    </w:p>
    <w:p w:rsidR="00D51976" w:rsidRDefault="00D51976" w:rsidP="00D51976">
      <w:pPr>
        <w:snapToGrid w:val="0"/>
        <w:spacing w:beforeLines="50" w:line="440" w:lineRule="exact"/>
        <w:jc w:val="center"/>
        <w:outlineLvl w:val="1"/>
        <w:rPr>
          <w:rFonts w:ascii="標楷體" w:eastAsia="標楷體" w:hAnsi="標楷體" w:hint="eastAsia"/>
        </w:rPr>
      </w:pPr>
      <w:r w:rsidRPr="00D51976">
        <w:rPr>
          <w:rFonts w:ascii="標楷體" w:eastAsia="標楷體" w:hAnsi="標楷體"/>
          <w:noProof/>
        </w:rPr>
      </w:r>
      <w:r w:rsidRPr="00D51976">
        <w:rPr>
          <w:rFonts w:ascii="標楷體" w:eastAsia="標楷體" w:hAnsi="標楷體"/>
        </w:rPr>
        <w:pict>
          <v:group id="_x0000_s1042" editas="canvas" style="width:420pt;height:540pt;mso-position-horizontal-relative:char;mso-position-vertical-relative:line" coordorigin="2360,2120" coordsize="7304,96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360;top:2120;width:7304;height:9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4" type="#_x0000_t202" style="position:absolute;left:5021;top:2440;width:1878;height:756" strokeweight="2pt">
              <v:textbox style="mso-next-textbox:#_x0000_s1044">
                <w:txbxContent>
                  <w:p w:rsidR="00D51976" w:rsidRPr="0046503B" w:rsidRDefault="00D51976" w:rsidP="00D51976">
                    <w:pPr>
                      <w:jc w:val="center"/>
                      <w:rPr>
                        <w:rFonts w:eastAsia="標楷體" w:hint="eastAsia"/>
                        <w:sz w:val="28"/>
                        <w:szCs w:val="28"/>
                      </w:rPr>
                    </w:pPr>
                    <w:r w:rsidRPr="0046503B">
                      <w:rPr>
                        <w:rFonts w:eastAsia="標楷體" w:hint="eastAsia"/>
                        <w:sz w:val="28"/>
                        <w:szCs w:val="28"/>
                      </w:rPr>
                      <w:t>決定研究方向</w:t>
                    </w:r>
                  </w:p>
                </w:txbxContent>
              </v:textbox>
            </v:shape>
            <v:shape id="_x0000_s1045" type="#_x0000_t202" style="position:absolute;left:5021;top:3560;width:1878;height:756" strokeweight="2pt">
              <v:textbox style="mso-next-textbox:#_x0000_s1045">
                <w:txbxContent>
                  <w:p w:rsidR="00D51976" w:rsidRPr="0046503B" w:rsidRDefault="00D51976" w:rsidP="00D51976">
                    <w:pPr>
                      <w:jc w:val="center"/>
                      <w:rPr>
                        <w:rFonts w:ascii="標楷體" w:eastAsia="標楷體" w:hAnsi="標楷體" w:hint="eastAsia"/>
                        <w:sz w:val="28"/>
                        <w:szCs w:val="28"/>
                      </w:rPr>
                    </w:pPr>
                    <w:r w:rsidRPr="0046503B">
                      <w:rPr>
                        <w:rFonts w:ascii="標楷體" w:eastAsia="標楷體" w:hAnsi="標楷體" w:hint="eastAsia"/>
                        <w:sz w:val="28"/>
                        <w:szCs w:val="28"/>
                      </w:rPr>
                      <w:t>訂定研究題目</w:t>
                    </w:r>
                  </w:p>
                </w:txbxContent>
              </v:textbox>
            </v:shape>
            <v:shape id="_x0000_s1046" type="#_x0000_t202" style="position:absolute;left:5021;top:4680;width:1878;height:756" strokeweight="2pt">
              <v:textbox style="mso-next-textbox:#_x0000_s1046">
                <w:txbxContent>
                  <w:p w:rsidR="00D51976" w:rsidRPr="0046503B" w:rsidRDefault="00D51976" w:rsidP="00D51976">
                    <w:pPr>
                      <w:jc w:val="center"/>
                      <w:rPr>
                        <w:rFonts w:ascii="標楷體" w:eastAsia="標楷體" w:hAnsi="標楷體" w:hint="eastAsia"/>
                        <w:sz w:val="28"/>
                        <w:szCs w:val="28"/>
                      </w:rPr>
                    </w:pPr>
                    <w:r>
                      <w:rPr>
                        <w:rFonts w:ascii="標楷體" w:eastAsia="標楷體" w:hAnsi="標楷體" w:hint="eastAsia"/>
                        <w:sz w:val="28"/>
                        <w:szCs w:val="28"/>
                      </w:rPr>
                      <w:t>相關文獻蒐</w:t>
                    </w:r>
                    <w:r w:rsidRPr="0046503B">
                      <w:rPr>
                        <w:rFonts w:ascii="標楷體" w:eastAsia="標楷體" w:hAnsi="標楷體" w:hint="eastAsia"/>
                        <w:sz w:val="28"/>
                        <w:szCs w:val="28"/>
                      </w:rPr>
                      <w:t>集</w:t>
                    </w:r>
                  </w:p>
                </w:txbxContent>
              </v:textbox>
            </v:shape>
            <v:shape id="_x0000_s1047" type="#_x0000_t202" style="position:absolute;left:4395;top:5800;width:3139;height:756" strokeweight="2pt">
              <v:textbox style="mso-next-textbox:#_x0000_s1047">
                <w:txbxContent>
                  <w:p w:rsidR="00D51976" w:rsidRPr="0046503B" w:rsidRDefault="00D51976" w:rsidP="00D51976">
                    <w:pPr>
                      <w:jc w:val="center"/>
                      <w:rPr>
                        <w:rFonts w:ascii="標楷體" w:eastAsia="標楷體" w:hAnsi="標楷體" w:hint="eastAsia"/>
                        <w:sz w:val="28"/>
                        <w:szCs w:val="28"/>
                      </w:rPr>
                    </w:pPr>
                    <w:r w:rsidRPr="0046503B">
                      <w:rPr>
                        <w:rFonts w:ascii="標楷體" w:eastAsia="標楷體" w:hAnsi="標楷體" w:hint="eastAsia"/>
                        <w:sz w:val="28"/>
                        <w:szCs w:val="28"/>
                      </w:rPr>
                      <w:t>問卷設計、</w:t>
                    </w:r>
                    <w:r>
                      <w:rPr>
                        <w:rFonts w:ascii="標楷體" w:eastAsia="標楷體" w:hAnsi="標楷體" w:hint="eastAsia"/>
                        <w:sz w:val="28"/>
                        <w:szCs w:val="28"/>
                      </w:rPr>
                      <w:t>問卷預測</w:t>
                    </w:r>
                    <w:r w:rsidRPr="0046503B">
                      <w:rPr>
                        <w:rFonts w:ascii="標楷體" w:eastAsia="標楷體" w:hAnsi="標楷體" w:hint="eastAsia"/>
                        <w:sz w:val="28"/>
                        <w:szCs w:val="28"/>
                      </w:rPr>
                      <w:t>與</w:t>
                    </w:r>
                    <w:r>
                      <w:rPr>
                        <w:rFonts w:ascii="標楷體" w:eastAsia="標楷體" w:hAnsi="標楷體" w:hint="eastAsia"/>
                        <w:sz w:val="28"/>
                        <w:szCs w:val="28"/>
                      </w:rPr>
                      <w:t>修正</w:t>
                    </w:r>
                  </w:p>
                </w:txbxContent>
              </v:textbox>
            </v:shape>
            <v:shape id="_x0000_s1048" type="#_x0000_t202" style="position:absolute;left:5021;top:6920;width:1887;height:756" strokeweight="2pt">
              <v:textbox style="mso-next-textbox:#_x0000_s1048">
                <w:txbxContent>
                  <w:p w:rsidR="00D51976" w:rsidRPr="0046503B" w:rsidRDefault="00D51976" w:rsidP="00D51976">
                    <w:pPr>
                      <w:jc w:val="center"/>
                      <w:rPr>
                        <w:rFonts w:ascii="標楷體" w:eastAsia="標楷體" w:hAnsi="標楷體" w:hint="eastAsia"/>
                        <w:sz w:val="28"/>
                        <w:szCs w:val="28"/>
                      </w:rPr>
                    </w:pPr>
                    <w:r w:rsidRPr="0046503B">
                      <w:rPr>
                        <w:rFonts w:ascii="標楷體" w:eastAsia="標楷體" w:hAnsi="標楷體" w:hint="eastAsia"/>
                        <w:sz w:val="28"/>
                        <w:szCs w:val="28"/>
                      </w:rPr>
                      <w:t>問卷統計</w:t>
                    </w:r>
                  </w:p>
                </w:txbxContent>
              </v:textbox>
            </v:shape>
            <v:shape id="_x0000_s1049" type="#_x0000_t202" style="position:absolute;left:5021;top:8040;width:1878;height:756" strokeweight="2pt">
              <v:textbox style="mso-next-textbox:#_x0000_s1049">
                <w:txbxContent>
                  <w:p w:rsidR="00D51976" w:rsidRPr="0046503B" w:rsidRDefault="00D51976" w:rsidP="00D51976">
                    <w:pPr>
                      <w:jc w:val="center"/>
                      <w:rPr>
                        <w:rFonts w:ascii="標楷體" w:eastAsia="標楷體" w:hAnsi="標楷體" w:hint="eastAsia"/>
                        <w:sz w:val="28"/>
                        <w:szCs w:val="28"/>
                      </w:rPr>
                    </w:pPr>
                    <w:r w:rsidRPr="0046503B">
                      <w:rPr>
                        <w:rFonts w:ascii="標楷體" w:eastAsia="標楷體" w:hAnsi="標楷體" w:hint="eastAsia"/>
                        <w:sz w:val="28"/>
                        <w:szCs w:val="28"/>
                      </w:rPr>
                      <w:t>資料分析</w:t>
                    </w:r>
                  </w:p>
                </w:txbxContent>
              </v:textbox>
            </v:shape>
            <v:shape id="_x0000_s1050" type="#_x0000_t202" style="position:absolute;left:5021;top:9160;width:1878;height:756" strokeweight="2pt">
              <v:textbox style="mso-next-textbox:#_x0000_s1050">
                <w:txbxContent>
                  <w:p w:rsidR="00D51976" w:rsidRPr="0046503B" w:rsidRDefault="00D51976" w:rsidP="00D51976">
                    <w:pPr>
                      <w:jc w:val="center"/>
                      <w:rPr>
                        <w:rFonts w:ascii="標楷體" w:eastAsia="標楷體" w:hAnsi="標楷體" w:hint="eastAsia"/>
                        <w:sz w:val="28"/>
                        <w:szCs w:val="28"/>
                      </w:rPr>
                    </w:pPr>
                    <w:r w:rsidRPr="0046503B">
                      <w:rPr>
                        <w:rFonts w:ascii="標楷體" w:eastAsia="標楷體" w:hAnsi="標楷體" w:hint="eastAsia"/>
                        <w:sz w:val="28"/>
                        <w:szCs w:val="28"/>
                      </w:rPr>
                      <w:t>結論與建議</w:t>
                    </w:r>
                  </w:p>
                </w:txbxContent>
              </v:textbox>
            </v:shape>
            <v:shapetype id="_x0000_t32" coordsize="21600,21600" o:spt="32" o:oned="t" path="m,l21600,21600e" filled="f">
              <v:path arrowok="t" fillok="f" o:connecttype="none"/>
              <o:lock v:ext="edit" shapetype="t"/>
            </v:shapetype>
            <v:shape id="_x0000_s1051" type="#_x0000_t32" style="position:absolute;left:5960;top:4334;width:1;height:328" o:connectortype="straight">
              <v:stroke endarrow="block"/>
            </v:shape>
            <v:shape id="_x0000_s1052" type="#_x0000_t32" style="position:absolute;left:5960;top:5454;width:4;height:328" o:connectortype="straight">
              <v:stroke endarrow="block"/>
            </v:shape>
            <v:shape id="_x0000_s1053" type="#_x0000_t32" style="position:absolute;left:5960;top:3214;width:1;height:328" o:connectortype="straight">
              <v:stroke endarrow="block"/>
            </v:shape>
            <v:shape id="_x0000_s1054" type="#_x0000_t32" style="position:absolute;left:5964;top:6574;width:1;height:328" o:connectortype="straight">
              <v:stroke endarrow="block"/>
            </v:shape>
            <v:shape id="_x0000_s1055" type="#_x0000_t32" style="position:absolute;left:5960;top:7694;width:4;height:328;flip:x" o:connectortype="straight">
              <v:stroke endarrow="block"/>
            </v:shape>
            <v:shape id="_x0000_s1056" type="#_x0000_t32" style="position:absolute;left:5960;top:8814;width:1;height:328" o:connectortype="straight">
              <v:stroke endarrow="block"/>
            </v:shape>
            <v:shape id="_x0000_s1057" type="#_x0000_t202" style="position:absolute;left:4343;top:10280;width:3232;height:480" filled="f" stroked="f">
              <v:textbox style="mso-next-textbox:#_x0000_s1057">
                <w:txbxContent>
                  <w:p w:rsidR="00D51976" w:rsidRPr="00C55293" w:rsidRDefault="00D51976" w:rsidP="00D51976">
                    <w:pPr>
                      <w:pStyle w:val="a3"/>
                      <w:rPr>
                        <w:rFonts w:hint="eastAsia"/>
                      </w:rPr>
                    </w:pPr>
                    <w:r w:rsidRPr="00C55293">
                      <w:rPr>
                        <w:rFonts w:hint="eastAsia"/>
                      </w:rPr>
                      <w:t>圖</w:t>
                    </w:r>
                    <w:r>
                      <w:rPr>
                        <w:rFonts w:ascii="Times New Roman" w:hAnsi="Times New Roman"/>
                        <w:szCs w:val="26"/>
                      </w:rPr>
                      <w:t>1</w:t>
                    </w:r>
                    <w:r>
                      <w:rPr>
                        <w:rFonts w:ascii="Times New Roman" w:hAnsi="Times New Roman" w:hint="eastAsia"/>
                        <w:szCs w:val="26"/>
                      </w:rPr>
                      <w:t>-</w:t>
                    </w:r>
                    <w:r w:rsidRPr="008C7E48">
                      <w:rPr>
                        <w:rFonts w:ascii="Times New Roman" w:hAnsi="Times New Roman"/>
                        <w:szCs w:val="26"/>
                      </w:rPr>
                      <w:t>1</w:t>
                    </w:r>
                    <w:r w:rsidRPr="00C55293">
                      <w:rPr>
                        <w:rFonts w:hint="eastAsia"/>
                      </w:rPr>
                      <w:t xml:space="preserve"> 研究流程</w:t>
                    </w:r>
                  </w:p>
                </w:txbxContent>
              </v:textbox>
            </v:shape>
            <w10:wrap type="none"/>
            <w10:anchorlock/>
          </v:group>
        </w:pict>
      </w:r>
      <w:bookmarkStart w:id="20" w:name="_Toc322478189"/>
      <w:bookmarkStart w:id="21" w:name="_Toc323828525"/>
    </w:p>
    <w:p w:rsidR="00D51976" w:rsidRDefault="00D51976" w:rsidP="00D51976">
      <w:pPr>
        <w:snapToGrid w:val="0"/>
        <w:spacing w:beforeLines="50" w:line="440" w:lineRule="exact"/>
        <w:jc w:val="center"/>
        <w:outlineLvl w:val="1"/>
        <w:rPr>
          <w:rFonts w:ascii="標楷體" w:eastAsia="標楷體" w:hAnsi="標楷體" w:hint="eastAsia"/>
        </w:rPr>
      </w:pPr>
    </w:p>
    <w:p w:rsidR="00D51976" w:rsidRPr="00D51976" w:rsidRDefault="00D51976" w:rsidP="00D51976">
      <w:pPr>
        <w:snapToGrid w:val="0"/>
        <w:spacing w:beforeLines="50" w:line="440" w:lineRule="exact"/>
        <w:jc w:val="center"/>
        <w:outlineLvl w:val="1"/>
        <w:rPr>
          <w:rFonts w:ascii="標楷體" w:eastAsia="標楷體" w:hAnsi="標楷體"/>
        </w:rPr>
      </w:pPr>
      <w:r w:rsidRPr="00D51976">
        <w:rPr>
          <w:rFonts w:ascii="標楷體" w:eastAsia="標楷體" w:hAnsi="標楷體"/>
          <w:b/>
        </w:rPr>
        <w:lastRenderedPageBreak/>
        <w:t>第五節  研究限制</w:t>
      </w:r>
      <w:bookmarkEnd w:id="18"/>
      <w:bookmarkEnd w:id="19"/>
      <w:bookmarkEnd w:id="20"/>
      <w:bookmarkEnd w:id="21"/>
    </w:p>
    <w:p w:rsidR="00D51976" w:rsidRPr="00D51976" w:rsidRDefault="00D51976" w:rsidP="00D51976">
      <w:pPr>
        <w:widowControl/>
        <w:snapToGrid w:val="0"/>
        <w:spacing w:beforeLines="50" w:line="440" w:lineRule="exact"/>
        <w:jc w:val="both"/>
        <w:rPr>
          <w:rFonts w:ascii="標楷體" w:eastAsia="標楷體" w:hAnsi="標楷體"/>
          <w:color w:val="000000"/>
          <w:kern w:val="0"/>
        </w:rPr>
      </w:pPr>
      <w:r w:rsidRPr="00D51976">
        <w:rPr>
          <w:rFonts w:ascii="標楷體" w:eastAsia="標楷體" w:hAnsi="標楷體"/>
          <w:bCs/>
          <w:color w:val="000000"/>
          <w:kern w:val="0"/>
        </w:rPr>
        <w:t>一、研究結果一般化推論（generalization）的能力有限</w:t>
      </w:r>
    </w:p>
    <w:p w:rsidR="00D51976" w:rsidRPr="00D51976" w:rsidRDefault="00D51976" w:rsidP="00D51976">
      <w:pPr>
        <w:widowControl/>
        <w:snapToGrid w:val="0"/>
        <w:spacing w:beforeLines="50" w:line="440" w:lineRule="exact"/>
        <w:ind w:firstLine="573"/>
        <w:jc w:val="both"/>
        <w:rPr>
          <w:rFonts w:ascii="標楷體" w:eastAsia="標楷體" w:hAnsi="標楷體"/>
          <w:color w:val="000000"/>
          <w:kern w:val="0"/>
        </w:rPr>
      </w:pPr>
      <w:r w:rsidRPr="00D51976">
        <w:rPr>
          <w:rFonts w:ascii="標楷體" w:eastAsia="標楷體" w:hAnsi="標楷體"/>
          <w:bCs/>
          <w:color w:val="000000"/>
          <w:kern w:val="0"/>
        </w:rPr>
        <w:t>本研究將地域範圍設限在高雄市，而該區消費者之消費特性、人口統計變數等可能與其它地區迥然不同，因此研究結果也</w:t>
      </w:r>
      <w:proofErr w:type="gramStart"/>
      <w:r w:rsidRPr="00D51976">
        <w:rPr>
          <w:rFonts w:ascii="標楷體" w:eastAsia="標楷體" w:hAnsi="標楷體"/>
          <w:bCs/>
          <w:color w:val="000000"/>
          <w:kern w:val="0"/>
        </w:rPr>
        <w:t>不易概化</w:t>
      </w:r>
      <w:proofErr w:type="gramEnd"/>
      <w:r w:rsidRPr="00D51976">
        <w:rPr>
          <w:rFonts w:ascii="標楷體" w:eastAsia="標楷體" w:hAnsi="標楷體"/>
          <w:bCs/>
          <w:color w:val="000000"/>
          <w:kern w:val="0"/>
        </w:rPr>
        <w:t>推論到其他高雄市以外地區消費者之消費行為。</w:t>
      </w:r>
    </w:p>
    <w:p w:rsidR="00D51976" w:rsidRPr="00D51976" w:rsidRDefault="00D51976" w:rsidP="00D51976">
      <w:pPr>
        <w:widowControl/>
        <w:snapToGrid w:val="0"/>
        <w:spacing w:beforeLines="50" w:line="440" w:lineRule="exact"/>
        <w:jc w:val="both"/>
        <w:rPr>
          <w:rFonts w:ascii="標楷體" w:eastAsia="標楷體" w:hAnsi="標楷體"/>
          <w:color w:val="000000"/>
          <w:kern w:val="0"/>
        </w:rPr>
      </w:pPr>
      <w:r w:rsidRPr="00D51976">
        <w:rPr>
          <w:rFonts w:ascii="標楷體" w:eastAsia="標楷體" w:hAnsi="標楷體"/>
          <w:bCs/>
          <w:color w:val="000000"/>
          <w:kern w:val="0"/>
        </w:rPr>
        <w:t>二、受測者對問卷時間界定上之模糊性</w:t>
      </w:r>
    </w:p>
    <w:p w:rsidR="00D51976" w:rsidRPr="00D51976" w:rsidRDefault="00D51976" w:rsidP="00D51976">
      <w:pPr>
        <w:widowControl/>
        <w:snapToGrid w:val="0"/>
        <w:spacing w:beforeLines="50" w:line="440" w:lineRule="exact"/>
        <w:ind w:firstLine="573"/>
        <w:jc w:val="both"/>
        <w:rPr>
          <w:rFonts w:ascii="標楷體" w:eastAsia="標楷體" w:hAnsi="標楷體"/>
          <w:color w:val="000000"/>
          <w:kern w:val="0"/>
        </w:rPr>
      </w:pPr>
      <w:r w:rsidRPr="00D51976">
        <w:rPr>
          <w:rFonts w:ascii="標楷體" w:eastAsia="標楷體" w:hAnsi="標楷體"/>
          <w:bCs/>
          <w:color w:val="000000"/>
          <w:kern w:val="0"/>
        </w:rPr>
        <w:t>本研究在問卷設計上，受測者以「幾個月前的記憶」來衡量，可能因為受測者之個人記憶不足或答題時之專注程度不同而產生模糊性，而造成些許誤差。</w:t>
      </w:r>
    </w:p>
    <w:p w:rsidR="00D51976" w:rsidRPr="00D51976" w:rsidRDefault="00D51976" w:rsidP="00D51976">
      <w:pPr>
        <w:snapToGrid w:val="0"/>
        <w:spacing w:beforeLines="50" w:line="440" w:lineRule="exact"/>
        <w:jc w:val="both"/>
        <w:rPr>
          <w:rFonts w:ascii="標楷體" w:eastAsia="標楷體" w:hAnsi="標楷體"/>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Default="00D51976" w:rsidP="00D51976">
      <w:pPr>
        <w:spacing w:line="440" w:lineRule="exact"/>
        <w:rPr>
          <w:rFonts w:ascii="標楷體" w:eastAsia="標楷體" w:hAnsi="標楷體" w:hint="eastAsia"/>
          <w:kern w:val="0"/>
        </w:rPr>
      </w:pPr>
    </w:p>
    <w:p w:rsidR="00D51976" w:rsidRPr="00D51976" w:rsidRDefault="00D51976" w:rsidP="00D51976">
      <w:pPr>
        <w:spacing w:line="440" w:lineRule="exact"/>
        <w:rPr>
          <w:rFonts w:ascii="標楷體" w:eastAsia="標楷體" w:hAnsi="標楷體" w:hint="eastAsia"/>
          <w:kern w:val="0"/>
        </w:rPr>
      </w:pPr>
    </w:p>
    <w:p w:rsidR="00D51976" w:rsidRPr="00D51976" w:rsidRDefault="00D51976" w:rsidP="00D51976">
      <w:pPr>
        <w:autoSpaceDE w:val="0"/>
        <w:autoSpaceDN w:val="0"/>
        <w:snapToGrid w:val="0"/>
        <w:spacing w:beforeLines="50" w:line="440" w:lineRule="exact"/>
        <w:jc w:val="center"/>
        <w:outlineLvl w:val="0"/>
        <w:rPr>
          <w:rFonts w:ascii="標楷體" w:eastAsia="標楷體" w:hAnsi="標楷體"/>
          <w:b/>
          <w:kern w:val="0"/>
        </w:rPr>
      </w:pPr>
      <w:r w:rsidRPr="00D51976">
        <w:rPr>
          <w:rFonts w:ascii="標楷體" w:eastAsia="標楷體" w:hAnsi="標楷體"/>
          <w:b/>
          <w:kern w:val="0"/>
        </w:rPr>
        <w:lastRenderedPageBreak/>
        <w:t>參考文獻</w:t>
      </w:r>
    </w:p>
    <w:p w:rsidR="00D51976" w:rsidRPr="00D51976" w:rsidRDefault="00D51976" w:rsidP="00D51976">
      <w:pPr>
        <w:autoSpaceDE w:val="0"/>
        <w:autoSpaceDN w:val="0"/>
        <w:snapToGrid w:val="0"/>
        <w:spacing w:beforeLines="50" w:line="440" w:lineRule="exact"/>
        <w:jc w:val="both"/>
        <w:outlineLvl w:val="1"/>
        <w:rPr>
          <w:rFonts w:ascii="標楷體" w:eastAsia="標楷體" w:hAnsi="標楷體"/>
          <w:b/>
          <w:kern w:val="0"/>
        </w:rPr>
      </w:pPr>
      <w:bookmarkStart w:id="22" w:name="_Toc323828548"/>
      <w:r w:rsidRPr="00D51976">
        <w:rPr>
          <w:rFonts w:ascii="標楷體" w:eastAsia="標楷體" w:hAnsi="標楷體"/>
          <w:b/>
          <w:kern w:val="0"/>
        </w:rPr>
        <w:t>中文文獻</w:t>
      </w:r>
      <w:bookmarkEnd w:id="22"/>
    </w:p>
    <w:tbl>
      <w:tblPr>
        <w:tblW w:w="8670" w:type="dxa"/>
        <w:tblInd w:w="13" w:type="dxa"/>
        <w:tblCellMar>
          <w:left w:w="28" w:type="dxa"/>
          <w:right w:w="28" w:type="dxa"/>
        </w:tblCellMar>
        <w:tblLook w:val="04A0"/>
      </w:tblPr>
      <w:tblGrid>
        <w:gridCol w:w="8670"/>
      </w:tblGrid>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widowControl/>
              <w:spacing w:line="440" w:lineRule="exact"/>
              <w:ind w:leftChars="54" w:left="250" w:hangingChars="50" w:hanging="120"/>
              <w:rPr>
                <w:rFonts w:ascii="標楷體" w:eastAsia="標楷體" w:hAnsi="標楷體"/>
                <w:b/>
                <w:color w:val="000000"/>
                <w:kern w:val="0"/>
              </w:rPr>
            </w:pPr>
            <w:proofErr w:type="gramStart"/>
            <w:r w:rsidRPr="00D51976">
              <w:rPr>
                <w:rFonts w:ascii="標楷體" w:eastAsia="標楷體" w:hAnsi="標楷體"/>
                <w:b/>
                <w:color w:val="000000"/>
                <w:kern w:val="0"/>
              </w:rPr>
              <w:t>﹙</w:t>
            </w:r>
            <w:proofErr w:type="gramEnd"/>
            <w:r w:rsidRPr="00D51976">
              <w:rPr>
                <w:rFonts w:ascii="標楷體" w:eastAsia="標楷體" w:hAnsi="標楷體"/>
                <w:b/>
                <w:color w:val="000000"/>
                <w:kern w:val="0"/>
              </w:rPr>
              <w:t>1</w:t>
            </w:r>
            <w:proofErr w:type="gramStart"/>
            <w:r w:rsidRPr="00D51976">
              <w:rPr>
                <w:rFonts w:ascii="標楷體" w:eastAsia="標楷體" w:hAnsi="標楷體"/>
                <w:b/>
                <w:color w:val="000000"/>
                <w:kern w:val="0"/>
              </w:rPr>
              <w:t>﹚</w:t>
            </w:r>
            <w:proofErr w:type="gramEnd"/>
            <w:r w:rsidRPr="00D51976">
              <w:rPr>
                <w:rFonts w:ascii="標楷體" w:eastAsia="標楷體" w:hAnsi="標楷體"/>
                <w:b/>
                <w:color w:val="000000"/>
                <w:kern w:val="0"/>
              </w:rPr>
              <w:t>書籍</w:t>
            </w:r>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firstLineChars="50" w:firstLine="120"/>
              <w:rPr>
                <w:rFonts w:ascii="標楷體" w:eastAsia="標楷體" w:hAnsi="標楷體"/>
                <w:kern w:val="0"/>
              </w:rPr>
            </w:pPr>
            <w:bookmarkStart w:id="23" w:name="_Toc322488787"/>
            <w:bookmarkStart w:id="24" w:name="_Toc322488982"/>
            <w:r w:rsidRPr="00D51976">
              <w:rPr>
                <w:rFonts w:ascii="標楷體" w:eastAsia="標楷體" w:hAnsi="標楷體"/>
                <w:color w:val="000000"/>
                <w:kern w:val="0"/>
              </w:rPr>
              <w:t>1.</w:t>
            </w:r>
            <w:r w:rsidRPr="00D51976">
              <w:rPr>
                <w:rFonts w:ascii="標楷體" w:eastAsia="標楷體" w:hAnsi="標楷體"/>
                <w:kern w:val="0"/>
              </w:rPr>
              <w:t>榮泰生（民88），消費者行為，台北：五南圖書出版有限公司。</w:t>
            </w:r>
            <w:bookmarkEnd w:id="23"/>
            <w:bookmarkEnd w:id="24"/>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firstLineChars="50" w:firstLine="120"/>
              <w:rPr>
                <w:rFonts w:ascii="標楷體" w:eastAsia="標楷體" w:hAnsi="標楷體"/>
                <w:kern w:val="0"/>
              </w:rPr>
            </w:pPr>
            <w:bookmarkStart w:id="25" w:name="_Toc322488788"/>
            <w:bookmarkStart w:id="26" w:name="_Toc322488983"/>
            <w:r w:rsidRPr="00D51976">
              <w:rPr>
                <w:rFonts w:ascii="標楷體" w:eastAsia="標楷體" w:hAnsi="標楷體"/>
                <w:color w:val="000000"/>
                <w:kern w:val="0"/>
              </w:rPr>
              <w:t>2.</w:t>
            </w:r>
            <w:r w:rsidRPr="00D51976">
              <w:rPr>
                <w:rFonts w:ascii="標楷體" w:eastAsia="標楷體" w:hAnsi="標楷體"/>
                <w:kern w:val="0"/>
              </w:rPr>
              <w:t>榮泰生（民91），企業研究方法，台北：五南書局。</w:t>
            </w:r>
            <w:bookmarkEnd w:id="25"/>
            <w:bookmarkEnd w:id="26"/>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firstLineChars="50" w:firstLine="120"/>
              <w:rPr>
                <w:rFonts w:ascii="標楷體" w:eastAsia="標楷體" w:hAnsi="標楷體"/>
                <w:color w:val="000000"/>
                <w:kern w:val="0"/>
              </w:rPr>
            </w:pPr>
            <w:bookmarkStart w:id="27" w:name="_Toc322488789"/>
            <w:bookmarkStart w:id="28" w:name="_Toc322488984"/>
            <w:r w:rsidRPr="00D51976">
              <w:rPr>
                <w:rFonts w:ascii="標楷體" w:eastAsia="標楷體" w:hAnsi="標楷體"/>
                <w:color w:val="000000"/>
                <w:kern w:val="0"/>
              </w:rPr>
              <w:t>3.許士軍（民76）。管理學，台北：東華書局。</w:t>
            </w:r>
            <w:bookmarkEnd w:id="27"/>
            <w:bookmarkEnd w:id="28"/>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widowControl/>
              <w:spacing w:line="440" w:lineRule="exact"/>
              <w:ind w:leftChars="54" w:left="250" w:hangingChars="50" w:hanging="120"/>
              <w:rPr>
                <w:rFonts w:ascii="標楷體" w:eastAsia="標楷體" w:hAnsi="標楷體"/>
                <w:b/>
                <w:color w:val="000000"/>
                <w:kern w:val="0"/>
              </w:rPr>
            </w:pPr>
            <w:proofErr w:type="gramStart"/>
            <w:r w:rsidRPr="00D51976">
              <w:rPr>
                <w:rFonts w:ascii="標楷體" w:eastAsia="標楷體" w:hAnsi="標楷體"/>
                <w:b/>
                <w:color w:val="000000"/>
                <w:kern w:val="0"/>
              </w:rPr>
              <w:t>﹙</w:t>
            </w:r>
            <w:proofErr w:type="gramEnd"/>
            <w:r w:rsidRPr="00D51976">
              <w:rPr>
                <w:rFonts w:ascii="標楷體" w:eastAsia="標楷體" w:hAnsi="標楷體"/>
                <w:b/>
                <w:color w:val="000000"/>
                <w:kern w:val="0"/>
              </w:rPr>
              <w:t>2</w:t>
            </w:r>
            <w:proofErr w:type="gramStart"/>
            <w:r w:rsidRPr="00D51976">
              <w:rPr>
                <w:rFonts w:ascii="標楷體" w:eastAsia="標楷體" w:hAnsi="標楷體"/>
                <w:b/>
                <w:color w:val="000000"/>
                <w:kern w:val="0"/>
              </w:rPr>
              <w:t>﹚</w:t>
            </w:r>
            <w:proofErr w:type="gramEnd"/>
            <w:r w:rsidRPr="00D51976">
              <w:rPr>
                <w:rFonts w:ascii="標楷體" w:eastAsia="標楷體" w:hAnsi="標楷體"/>
                <w:b/>
                <w:color w:val="000000"/>
                <w:kern w:val="0"/>
              </w:rPr>
              <w:t>學術論文</w:t>
            </w:r>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370" w:hangingChars="100" w:hanging="240"/>
              <w:rPr>
                <w:rFonts w:ascii="標楷體" w:eastAsia="標楷體" w:hAnsi="標楷體"/>
                <w:color w:val="000000"/>
                <w:kern w:val="0"/>
              </w:rPr>
            </w:pPr>
            <w:bookmarkStart w:id="29" w:name="_Toc322488790"/>
            <w:bookmarkStart w:id="30" w:name="_Toc322488985"/>
            <w:r w:rsidRPr="00D51976">
              <w:rPr>
                <w:rFonts w:ascii="標楷體" w:eastAsia="標楷體" w:hAnsi="標楷體"/>
                <w:color w:val="000000"/>
                <w:kern w:val="0"/>
              </w:rPr>
              <w:t>1.陳建翰(2002)。產品涉入程度、品牌形象、品牌權益與顧客回應間之關係探討。東華大學企業管理學系碩士論文。</w:t>
            </w:r>
            <w:bookmarkEnd w:id="29"/>
            <w:bookmarkEnd w:id="30"/>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370" w:hangingChars="100" w:hanging="240"/>
              <w:rPr>
                <w:rFonts w:ascii="標楷體" w:eastAsia="標楷體" w:hAnsi="標楷體"/>
                <w:color w:val="000000"/>
                <w:kern w:val="0"/>
              </w:rPr>
            </w:pPr>
            <w:bookmarkStart w:id="31" w:name="_Toc322488791"/>
            <w:bookmarkStart w:id="32" w:name="_Toc322488986"/>
            <w:r w:rsidRPr="00D51976">
              <w:rPr>
                <w:rFonts w:ascii="標楷體" w:eastAsia="標楷體" w:hAnsi="標楷體"/>
                <w:color w:val="000000"/>
                <w:kern w:val="0"/>
              </w:rPr>
              <w:t>2.蔡忠達（1999）。涉入、消費者評估參考點與評估情境對購買評價及購買意願之影響，國立臺灣大學商學研究所碩士論文。</w:t>
            </w:r>
            <w:bookmarkEnd w:id="31"/>
            <w:bookmarkEnd w:id="32"/>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370" w:hangingChars="100" w:hanging="240"/>
              <w:rPr>
                <w:rFonts w:ascii="標楷體" w:eastAsia="標楷體" w:hAnsi="標楷體"/>
                <w:color w:val="000000"/>
                <w:kern w:val="0"/>
              </w:rPr>
            </w:pPr>
            <w:bookmarkStart w:id="33" w:name="_Toc322488792"/>
            <w:bookmarkStart w:id="34" w:name="_Toc322488987"/>
            <w:r w:rsidRPr="00D51976">
              <w:rPr>
                <w:rFonts w:ascii="標楷體" w:eastAsia="標楷體" w:hAnsi="標楷體"/>
                <w:color w:val="000000"/>
                <w:kern w:val="0"/>
              </w:rPr>
              <w:t>3.王明輝（2000）。影響消費者購買自有品牌商品因素之研究</w:t>
            </w:r>
            <w:proofErr w:type="gramStart"/>
            <w:r w:rsidRPr="00D51976">
              <w:rPr>
                <w:rFonts w:ascii="標楷體" w:eastAsia="標楷體" w:hAnsi="標楷體"/>
                <w:color w:val="000000"/>
                <w:kern w:val="0"/>
              </w:rPr>
              <w:t>—</w:t>
            </w:r>
            <w:proofErr w:type="gramEnd"/>
            <w:r w:rsidRPr="00D51976">
              <w:rPr>
                <w:rFonts w:ascii="標楷體" w:eastAsia="標楷體" w:hAnsi="標楷體"/>
                <w:color w:val="000000"/>
                <w:kern w:val="0"/>
              </w:rPr>
              <w:t>以外商在台零售量販通路為例。中國文化大學國際企業管理研究所。碩士論文。台北縣。</w:t>
            </w:r>
            <w:bookmarkEnd w:id="33"/>
            <w:bookmarkEnd w:id="34"/>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370" w:hangingChars="100" w:hanging="240"/>
              <w:rPr>
                <w:rFonts w:ascii="標楷體" w:eastAsia="標楷體" w:hAnsi="標楷體"/>
                <w:color w:val="000000"/>
                <w:kern w:val="0"/>
              </w:rPr>
            </w:pPr>
            <w:bookmarkStart w:id="35" w:name="_Toc322488793"/>
            <w:bookmarkStart w:id="36" w:name="_Toc322488988"/>
            <w:r w:rsidRPr="00D51976">
              <w:rPr>
                <w:rFonts w:ascii="標楷體" w:eastAsia="標楷體" w:hAnsi="標楷體"/>
                <w:color w:val="000000"/>
                <w:kern w:val="0"/>
              </w:rPr>
              <w:t>4.何玉珍、胡欣慧(2008)。消費者對量販店自有品牌食品購買意願之研究。</w:t>
            </w:r>
            <w:proofErr w:type="gramStart"/>
            <w:r w:rsidRPr="00D51976">
              <w:rPr>
                <w:rFonts w:ascii="標楷體" w:eastAsia="標楷體" w:hAnsi="標楷體"/>
                <w:color w:val="000000"/>
                <w:kern w:val="0"/>
              </w:rPr>
              <w:t>餐旅暨家政學</w:t>
            </w:r>
            <w:proofErr w:type="gramEnd"/>
            <w:r w:rsidRPr="00D51976">
              <w:rPr>
                <w:rFonts w:ascii="標楷體" w:eastAsia="標楷體" w:hAnsi="標楷體"/>
                <w:color w:val="000000"/>
                <w:kern w:val="0"/>
              </w:rPr>
              <w:t>刊。5(3)。</w:t>
            </w:r>
            <w:bookmarkEnd w:id="35"/>
            <w:bookmarkEnd w:id="36"/>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370" w:hangingChars="100" w:hanging="240"/>
              <w:rPr>
                <w:rFonts w:ascii="標楷體" w:eastAsia="標楷體" w:hAnsi="標楷體"/>
                <w:color w:val="000000"/>
                <w:kern w:val="0"/>
              </w:rPr>
            </w:pPr>
            <w:bookmarkStart w:id="37" w:name="_Toc322488794"/>
            <w:bookmarkStart w:id="38" w:name="_Toc322488989"/>
            <w:r w:rsidRPr="00D51976">
              <w:rPr>
                <w:rFonts w:ascii="標楷體" w:eastAsia="標楷體" w:hAnsi="標楷體"/>
                <w:color w:val="000000"/>
                <w:kern w:val="0"/>
              </w:rPr>
              <w:t>5.林忠勳（2004）。品牌聯想、知覺風險對企業經理人購買意願之影響研究。南華大學管理科學研究所。未出版之碩士論文，嘉義縣。</w:t>
            </w:r>
            <w:bookmarkEnd w:id="37"/>
            <w:bookmarkEnd w:id="38"/>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370" w:hangingChars="100" w:hanging="240"/>
              <w:rPr>
                <w:rFonts w:ascii="標楷體" w:eastAsia="標楷體" w:hAnsi="標楷體"/>
                <w:color w:val="000000"/>
                <w:kern w:val="0"/>
              </w:rPr>
            </w:pPr>
            <w:bookmarkStart w:id="39" w:name="_Toc322488795"/>
            <w:bookmarkStart w:id="40" w:name="_Toc322488990"/>
            <w:r w:rsidRPr="00D51976">
              <w:rPr>
                <w:rFonts w:ascii="標楷體" w:eastAsia="標楷體" w:hAnsi="標楷體"/>
                <w:color w:val="000000"/>
                <w:kern w:val="0"/>
              </w:rPr>
              <w:t>6.林莉卿(2009) 。消費者對有機米品牌知名度、品牌形象、知覺風險及顧客忠誠度之研究。海峽兩岸創新與永績經營學術研討會。新竹市。</w:t>
            </w:r>
            <w:bookmarkEnd w:id="39"/>
            <w:bookmarkEnd w:id="40"/>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370" w:hangingChars="100" w:hanging="240"/>
              <w:rPr>
                <w:rFonts w:ascii="標楷體" w:eastAsia="標楷體" w:hAnsi="標楷體"/>
                <w:color w:val="000000"/>
                <w:kern w:val="0"/>
              </w:rPr>
            </w:pPr>
            <w:bookmarkStart w:id="41" w:name="_Toc322488796"/>
            <w:bookmarkStart w:id="42" w:name="_Toc322488991"/>
            <w:r w:rsidRPr="00D51976">
              <w:rPr>
                <w:rFonts w:ascii="標楷體" w:eastAsia="標楷體" w:hAnsi="標楷體"/>
                <w:color w:val="000000"/>
                <w:kern w:val="0"/>
              </w:rPr>
              <w:t>7.姜禮榮(2004)。線上購物動機與知覺風險對網路拍賣購物意願之影響。國立中山大學企業管理系。未出版碩士論文。高雄市。</w:t>
            </w:r>
            <w:bookmarkEnd w:id="41"/>
            <w:bookmarkEnd w:id="42"/>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370" w:hangingChars="100" w:hanging="240"/>
              <w:rPr>
                <w:rFonts w:ascii="標楷體" w:eastAsia="標楷體" w:hAnsi="標楷體"/>
                <w:color w:val="000000"/>
                <w:kern w:val="0"/>
              </w:rPr>
            </w:pPr>
            <w:bookmarkStart w:id="43" w:name="_Toc322488797"/>
            <w:bookmarkStart w:id="44" w:name="_Toc322488992"/>
            <w:r w:rsidRPr="00D51976">
              <w:rPr>
                <w:rFonts w:ascii="標楷體" w:eastAsia="標楷體" w:hAnsi="標楷體"/>
                <w:color w:val="000000"/>
                <w:kern w:val="0"/>
              </w:rPr>
              <w:t>8.郭淑雲(2001)。消費者特性與網際網路購物意願關係之研究-以生鮮食品為例。國立中興大學行銷研究所。未出版碩士論文。台中市。</w:t>
            </w:r>
            <w:bookmarkEnd w:id="43"/>
            <w:bookmarkEnd w:id="44"/>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370" w:hangingChars="100" w:hanging="240"/>
              <w:rPr>
                <w:rFonts w:ascii="標楷體" w:eastAsia="標楷體" w:hAnsi="標楷體"/>
                <w:color w:val="000000"/>
                <w:kern w:val="0"/>
              </w:rPr>
            </w:pPr>
            <w:bookmarkStart w:id="45" w:name="_Toc322488798"/>
            <w:bookmarkStart w:id="46" w:name="_Toc322488993"/>
            <w:r w:rsidRPr="00D51976">
              <w:rPr>
                <w:rFonts w:ascii="標楷體" w:eastAsia="標楷體" w:hAnsi="標楷體"/>
                <w:color w:val="000000"/>
                <w:kern w:val="0"/>
              </w:rPr>
              <w:t>9.</w:t>
            </w:r>
            <w:proofErr w:type="gramStart"/>
            <w:r w:rsidRPr="00D51976">
              <w:rPr>
                <w:rFonts w:ascii="標楷體" w:eastAsia="標楷體" w:hAnsi="標楷體"/>
                <w:color w:val="000000"/>
                <w:kern w:val="0"/>
              </w:rPr>
              <w:t>陳俊峰</w:t>
            </w:r>
            <w:proofErr w:type="gramEnd"/>
            <w:r w:rsidRPr="00D51976">
              <w:rPr>
                <w:rFonts w:ascii="標楷體" w:eastAsia="標楷體" w:hAnsi="標楷體"/>
                <w:color w:val="000000"/>
                <w:kern w:val="0"/>
              </w:rPr>
              <w:t>(2004) 。影響消費者購買保健食品決策因素之研究－ 以多層次</w:t>
            </w:r>
            <w:proofErr w:type="gramStart"/>
            <w:r w:rsidRPr="00D51976">
              <w:rPr>
                <w:rFonts w:ascii="標楷體" w:eastAsia="標楷體" w:hAnsi="標楷體"/>
                <w:color w:val="000000"/>
                <w:kern w:val="0"/>
              </w:rPr>
              <w:t>傳銷為例</w:t>
            </w:r>
            <w:proofErr w:type="gramEnd"/>
            <w:r w:rsidRPr="00D51976">
              <w:rPr>
                <w:rFonts w:ascii="標楷體" w:eastAsia="標楷體" w:hAnsi="標楷體"/>
                <w:color w:val="000000"/>
                <w:kern w:val="0"/>
              </w:rPr>
              <w:t xml:space="preserve"> 。國立成功大學高階管理碩士在職專班。未出版碩士論文。台南市。</w:t>
            </w:r>
            <w:bookmarkEnd w:id="45"/>
            <w:bookmarkEnd w:id="46"/>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490" w:hangingChars="150" w:hanging="360"/>
              <w:rPr>
                <w:rFonts w:ascii="標楷體" w:eastAsia="標楷體" w:hAnsi="標楷體"/>
                <w:color w:val="000000"/>
                <w:kern w:val="0"/>
              </w:rPr>
            </w:pPr>
            <w:bookmarkStart w:id="47" w:name="_Toc322488799"/>
            <w:bookmarkStart w:id="48" w:name="_Toc322488994"/>
            <w:r w:rsidRPr="00D51976">
              <w:rPr>
                <w:rFonts w:ascii="標楷體" w:eastAsia="標楷體" w:hAnsi="標楷體"/>
                <w:color w:val="000000"/>
                <w:kern w:val="0"/>
              </w:rPr>
              <w:t>10.陳貞綉(2004) 。涉入程度價格接受度與知覺價值對有機食品購買意願之影響。</w:t>
            </w:r>
            <w:proofErr w:type="gramStart"/>
            <w:r w:rsidRPr="00D51976">
              <w:rPr>
                <w:rFonts w:ascii="標楷體" w:eastAsia="標楷體" w:hAnsi="標楷體"/>
                <w:color w:val="000000"/>
                <w:kern w:val="0"/>
              </w:rPr>
              <w:t>世</w:t>
            </w:r>
            <w:proofErr w:type="gramEnd"/>
            <w:r w:rsidRPr="00D51976">
              <w:rPr>
                <w:rFonts w:ascii="標楷體" w:eastAsia="標楷體" w:hAnsi="標楷體"/>
                <w:color w:val="000000"/>
                <w:kern w:val="0"/>
              </w:rPr>
              <w:t>新大學觀光研究所。未出版碩士論文。台北市。</w:t>
            </w:r>
            <w:bookmarkEnd w:id="47"/>
            <w:bookmarkEnd w:id="48"/>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490" w:hangingChars="150" w:hanging="360"/>
              <w:rPr>
                <w:rFonts w:ascii="標楷體" w:eastAsia="標楷體" w:hAnsi="標楷體"/>
                <w:color w:val="000000"/>
                <w:kern w:val="0"/>
              </w:rPr>
            </w:pPr>
            <w:bookmarkStart w:id="49" w:name="_Toc322488800"/>
            <w:bookmarkStart w:id="50" w:name="_Toc322488995"/>
            <w:r w:rsidRPr="00D51976">
              <w:rPr>
                <w:rFonts w:ascii="標楷體" w:eastAsia="標楷體" w:hAnsi="標楷體"/>
                <w:color w:val="000000"/>
                <w:kern w:val="0"/>
              </w:rPr>
              <w:t>11.陳淑娟、楊</w:t>
            </w:r>
            <w:proofErr w:type="gramStart"/>
            <w:r w:rsidRPr="00D51976">
              <w:rPr>
                <w:rFonts w:ascii="標楷體" w:eastAsia="標楷體" w:hAnsi="標楷體"/>
                <w:color w:val="000000"/>
                <w:kern w:val="0"/>
              </w:rPr>
              <w:t>珮綺</w:t>
            </w:r>
            <w:proofErr w:type="gramEnd"/>
            <w:r w:rsidRPr="00D51976">
              <w:rPr>
                <w:rFonts w:ascii="標楷體" w:eastAsia="標楷體" w:hAnsi="標楷體"/>
                <w:color w:val="000000"/>
                <w:kern w:val="0"/>
              </w:rPr>
              <w:t>、林永順(2009)產品涉入、知覺風險與資訊傳播影響消費者購買果醋意願的研究。美和技術學院學報。</w:t>
            </w:r>
            <w:bookmarkEnd w:id="49"/>
            <w:bookmarkEnd w:id="50"/>
            <w:r w:rsidRPr="00D51976">
              <w:rPr>
                <w:rFonts w:ascii="標楷體" w:eastAsia="標楷體" w:hAnsi="標楷體"/>
                <w:color w:val="000000"/>
                <w:kern w:val="0"/>
              </w:rPr>
              <w:t xml:space="preserve"> </w:t>
            </w:r>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490" w:hangingChars="150" w:hanging="360"/>
              <w:rPr>
                <w:rFonts w:ascii="標楷體" w:eastAsia="標楷體" w:hAnsi="標楷體"/>
                <w:color w:val="000000"/>
                <w:kern w:val="0"/>
              </w:rPr>
            </w:pPr>
            <w:bookmarkStart w:id="51" w:name="_Toc322488801"/>
            <w:bookmarkStart w:id="52" w:name="_Toc322488996"/>
            <w:r w:rsidRPr="00D51976">
              <w:rPr>
                <w:rFonts w:ascii="標楷體" w:eastAsia="標楷體" w:hAnsi="標楷體"/>
                <w:color w:val="000000"/>
                <w:kern w:val="0"/>
              </w:rPr>
              <w:t>12.</w:t>
            </w:r>
            <w:proofErr w:type="gramStart"/>
            <w:r w:rsidRPr="00D51976">
              <w:rPr>
                <w:rFonts w:ascii="標楷體" w:eastAsia="標楷體" w:hAnsi="標楷體"/>
                <w:color w:val="000000"/>
                <w:kern w:val="0"/>
              </w:rPr>
              <w:t>焦經隆</w:t>
            </w:r>
            <w:proofErr w:type="gramEnd"/>
            <w:r w:rsidRPr="00D51976">
              <w:rPr>
                <w:rFonts w:ascii="標楷體" w:eastAsia="標楷體" w:hAnsi="標楷體"/>
                <w:color w:val="000000"/>
                <w:kern w:val="0"/>
              </w:rPr>
              <w:t>(2003)女性消費者產品涉入對知覺風險、資訊搜尋及散佈之</w:t>
            </w:r>
            <w:proofErr w:type="gramStart"/>
            <w:r w:rsidRPr="00D51976">
              <w:rPr>
                <w:rFonts w:ascii="標楷體" w:eastAsia="標楷體" w:hAnsi="標楷體"/>
                <w:color w:val="000000"/>
                <w:kern w:val="0"/>
              </w:rPr>
              <w:t>影響－以</w:t>
            </w:r>
            <w:proofErr w:type="gramEnd"/>
            <w:r w:rsidRPr="00D51976">
              <w:rPr>
                <w:rFonts w:ascii="標楷體" w:eastAsia="標楷體" w:hAnsi="標楷體"/>
                <w:color w:val="000000"/>
                <w:kern w:val="0"/>
              </w:rPr>
              <w:t>『健康食品』為例。國立成功大學高階管理碩士在職專班</w:t>
            </w:r>
            <w:bookmarkEnd w:id="51"/>
            <w:bookmarkEnd w:id="52"/>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490" w:hangingChars="150" w:hanging="360"/>
              <w:rPr>
                <w:rFonts w:ascii="標楷體" w:eastAsia="標楷體" w:hAnsi="標楷體"/>
                <w:color w:val="000000"/>
                <w:kern w:val="0"/>
              </w:rPr>
            </w:pPr>
            <w:bookmarkStart w:id="53" w:name="_Toc322488802"/>
            <w:bookmarkStart w:id="54" w:name="_Toc322488997"/>
            <w:r w:rsidRPr="00D51976">
              <w:rPr>
                <w:rFonts w:ascii="標楷體" w:eastAsia="標楷體" w:hAnsi="標楷體"/>
                <w:color w:val="000000"/>
                <w:kern w:val="0"/>
              </w:rPr>
              <w:lastRenderedPageBreak/>
              <w:t>13.楊朝堂、楊宗儒、王美慧、林哲聖（2007）。服務品質與知覺風險的影響效果--以臺灣東部地區餐飲服務業消費者為例。高雄餐旅學報。</w:t>
            </w:r>
            <w:bookmarkEnd w:id="53"/>
            <w:bookmarkEnd w:id="54"/>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spacing w:line="440" w:lineRule="exact"/>
              <w:ind w:leftChars="54" w:left="490" w:hangingChars="150" w:hanging="360"/>
              <w:rPr>
                <w:rFonts w:ascii="標楷體" w:eastAsia="標楷體" w:hAnsi="標楷體"/>
                <w:color w:val="000000"/>
                <w:kern w:val="0"/>
              </w:rPr>
            </w:pPr>
            <w:bookmarkStart w:id="55" w:name="_Toc322488803"/>
            <w:bookmarkStart w:id="56" w:name="_Toc322488998"/>
            <w:r w:rsidRPr="00D51976">
              <w:rPr>
                <w:rFonts w:ascii="標楷體" w:eastAsia="標楷體" w:hAnsi="標楷體"/>
                <w:color w:val="000000"/>
                <w:kern w:val="0"/>
              </w:rPr>
              <w:t xml:space="preserve">14.魏文欽、侯耀庭(2008)消費者產品涉入、知覺風險對有機蔬果購買意願之實證研究。International Journal of </w:t>
            </w:r>
            <w:proofErr w:type="spellStart"/>
            <w:r w:rsidRPr="00D51976">
              <w:rPr>
                <w:rFonts w:ascii="標楷體" w:eastAsia="標楷體" w:hAnsi="標楷體"/>
                <w:color w:val="000000"/>
                <w:kern w:val="0"/>
              </w:rPr>
              <w:t>Lisrel</w:t>
            </w:r>
            <w:proofErr w:type="spellEnd"/>
            <w:r w:rsidRPr="00D51976">
              <w:rPr>
                <w:rFonts w:ascii="標楷體" w:eastAsia="標楷體" w:hAnsi="標楷體"/>
                <w:color w:val="000000"/>
                <w:kern w:val="0"/>
              </w:rPr>
              <w:t>。</w:t>
            </w:r>
            <w:bookmarkEnd w:id="55"/>
            <w:bookmarkEnd w:id="56"/>
          </w:p>
        </w:tc>
      </w:tr>
    </w:tbl>
    <w:p w:rsidR="00D51976" w:rsidRPr="00D51976" w:rsidRDefault="00D51976" w:rsidP="00D51976">
      <w:pPr>
        <w:autoSpaceDE w:val="0"/>
        <w:autoSpaceDN w:val="0"/>
        <w:snapToGrid w:val="0"/>
        <w:spacing w:beforeLines="50" w:line="440" w:lineRule="exact"/>
        <w:outlineLvl w:val="1"/>
        <w:rPr>
          <w:rFonts w:ascii="標楷體" w:eastAsia="標楷體" w:hAnsi="標楷體"/>
          <w:b/>
          <w:kern w:val="0"/>
        </w:rPr>
      </w:pPr>
      <w:bookmarkStart w:id="57" w:name="_Toc323828549"/>
      <w:r w:rsidRPr="00D51976">
        <w:rPr>
          <w:rFonts w:ascii="標楷體" w:eastAsia="標楷體" w:hAnsi="標楷體"/>
          <w:b/>
          <w:kern w:val="0"/>
        </w:rPr>
        <w:t>英文文獻</w:t>
      </w:r>
      <w:bookmarkEnd w:id="57"/>
    </w:p>
    <w:tbl>
      <w:tblPr>
        <w:tblW w:w="8670" w:type="dxa"/>
        <w:tblInd w:w="13" w:type="dxa"/>
        <w:tblCellMar>
          <w:left w:w="28" w:type="dxa"/>
          <w:right w:w="28" w:type="dxa"/>
        </w:tblCellMar>
        <w:tblLook w:val="04A0"/>
      </w:tblPr>
      <w:tblGrid>
        <w:gridCol w:w="8670"/>
      </w:tblGrid>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autoSpaceDE w:val="0"/>
              <w:autoSpaceDN w:val="0"/>
              <w:adjustRightInd w:val="0"/>
              <w:spacing w:beforeLines="50" w:afterLines="50" w:line="440" w:lineRule="exact"/>
              <w:ind w:left="360" w:hangingChars="150" w:hanging="360"/>
              <w:rPr>
                <w:rFonts w:ascii="標楷體" w:eastAsia="標楷體" w:hAnsi="標楷體"/>
                <w:kern w:val="0"/>
              </w:rPr>
            </w:pPr>
            <w:r w:rsidRPr="00D51976">
              <w:rPr>
                <w:rFonts w:ascii="標楷體" w:eastAsia="標楷體" w:hAnsi="標楷體"/>
                <w:color w:val="000000"/>
                <w:kern w:val="0"/>
              </w:rPr>
              <w:t>1.</w:t>
            </w:r>
            <w:r w:rsidRPr="00D51976">
              <w:rPr>
                <w:rFonts w:ascii="標楷體" w:eastAsia="標楷體" w:hAnsi="標楷體"/>
                <w:kern w:val="0"/>
              </w:rPr>
              <w:t xml:space="preserve"> </w:t>
            </w:r>
            <w:proofErr w:type="spellStart"/>
            <w:proofErr w:type="gramStart"/>
            <w:r w:rsidRPr="00D51976">
              <w:rPr>
                <w:rFonts w:ascii="標楷體" w:eastAsia="標楷體" w:hAnsi="標楷體"/>
                <w:kern w:val="0"/>
              </w:rPr>
              <w:t>Barki</w:t>
            </w:r>
            <w:proofErr w:type="spellEnd"/>
            <w:r w:rsidRPr="00D51976">
              <w:rPr>
                <w:rFonts w:ascii="標楷體" w:eastAsia="標楷體" w:hAnsi="標楷體"/>
                <w:kern w:val="0"/>
              </w:rPr>
              <w:t xml:space="preserve"> ,H</w:t>
            </w:r>
            <w:proofErr w:type="gramEnd"/>
            <w:r w:rsidRPr="00D51976">
              <w:rPr>
                <w:rFonts w:ascii="標楷體" w:eastAsia="標楷體" w:hAnsi="標楷體"/>
                <w:kern w:val="0"/>
              </w:rPr>
              <w:t xml:space="preserve">. &amp; </w:t>
            </w:r>
            <w:proofErr w:type="spellStart"/>
            <w:r w:rsidRPr="00D51976">
              <w:rPr>
                <w:rFonts w:ascii="標楷體" w:eastAsia="標楷體" w:hAnsi="標楷體"/>
                <w:kern w:val="0"/>
              </w:rPr>
              <w:t>Hartwick,J</w:t>
            </w:r>
            <w:proofErr w:type="spellEnd"/>
            <w:r w:rsidRPr="00D51976">
              <w:rPr>
                <w:rFonts w:ascii="標楷體" w:eastAsia="標楷體" w:hAnsi="標楷體"/>
                <w:kern w:val="0"/>
              </w:rPr>
              <w:t>.,（1994）,Investigating the Relationship between Service Quality of E-Commerce and Customers' Future Intentions, Journal of Retailing,Vol.70, pp. 23-43.</w:t>
            </w:r>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autoSpaceDE w:val="0"/>
              <w:autoSpaceDN w:val="0"/>
              <w:adjustRightInd w:val="0"/>
              <w:spacing w:beforeLines="50" w:afterLines="50" w:line="440" w:lineRule="exact"/>
              <w:ind w:left="360" w:hangingChars="150" w:hanging="360"/>
              <w:rPr>
                <w:rFonts w:ascii="標楷體" w:eastAsia="標楷體" w:hAnsi="標楷體"/>
                <w:color w:val="000000"/>
                <w:kern w:val="0"/>
              </w:rPr>
            </w:pPr>
            <w:r w:rsidRPr="00D51976">
              <w:rPr>
                <w:rFonts w:ascii="標楷體" w:eastAsia="標楷體" w:hAnsi="標楷體"/>
                <w:color w:val="000000"/>
                <w:kern w:val="0"/>
              </w:rPr>
              <w:t xml:space="preserve">2. Bloch, P. H., &amp; </w:t>
            </w:r>
            <w:proofErr w:type="spellStart"/>
            <w:r w:rsidRPr="00D51976">
              <w:rPr>
                <w:rFonts w:ascii="標楷體" w:eastAsia="標楷體" w:hAnsi="標楷體"/>
                <w:color w:val="000000"/>
                <w:kern w:val="0"/>
              </w:rPr>
              <w:t>Richins</w:t>
            </w:r>
            <w:proofErr w:type="spellEnd"/>
            <w:r w:rsidRPr="00D51976">
              <w:rPr>
                <w:rFonts w:ascii="標楷體" w:eastAsia="標楷體" w:hAnsi="標楷體"/>
                <w:color w:val="000000"/>
                <w:kern w:val="0"/>
              </w:rPr>
              <w:t xml:space="preserve">, M. L.(1983),A Theoretical Model for the Study of Product Importance </w:t>
            </w:r>
            <w:proofErr w:type="spellStart"/>
            <w:r w:rsidRPr="00D51976">
              <w:rPr>
                <w:rFonts w:ascii="標楷體" w:eastAsia="標楷體" w:hAnsi="標楷體"/>
                <w:color w:val="000000"/>
                <w:kern w:val="0"/>
              </w:rPr>
              <w:t>Perceptons</w:t>
            </w:r>
            <w:proofErr w:type="spellEnd"/>
            <w:r w:rsidRPr="00D51976">
              <w:rPr>
                <w:rFonts w:ascii="標楷體" w:eastAsia="標楷體" w:hAnsi="標楷體"/>
                <w:color w:val="000000"/>
                <w:kern w:val="0"/>
              </w:rPr>
              <w:t>, Journal of Marketing, Vol.47, pp.69-81.</w:t>
            </w:r>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autoSpaceDE w:val="0"/>
              <w:autoSpaceDN w:val="0"/>
              <w:adjustRightInd w:val="0"/>
              <w:spacing w:beforeLines="50" w:afterLines="50" w:line="440" w:lineRule="exact"/>
              <w:ind w:left="360" w:hangingChars="150" w:hanging="360"/>
              <w:rPr>
                <w:rFonts w:ascii="標楷體" w:eastAsia="標楷體" w:hAnsi="標楷體"/>
                <w:color w:val="000000"/>
                <w:kern w:val="0"/>
              </w:rPr>
            </w:pPr>
            <w:r w:rsidRPr="00D51976">
              <w:rPr>
                <w:rFonts w:ascii="標楷體" w:eastAsia="標楷體" w:hAnsi="標楷體"/>
                <w:color w:val="000000"/>
                <w:kern w:val="0"/>
              </w:rPr>
              <w:t xml:space="preserve">3. </w:t>
            </w:r>
            <w:proofErr w:type="spellStart"/>
            <w:r w:rsidRPr="00D51976">
              <w:rPr>
                <w:rFonts w:ascii="標楷體" w:eastAsia="標楷體" w:hAnsi="標楷體"/>
                <w:color w:val="000000"/>
                <w:kern w:val="0"/>
              </w:rPr>
              <w:t>Donthu</w:t>
            </w:r>
            <w:proofErr w:type="gramStart"/>
            <w:r w:rsidRPr="00D51976">
              <w:rPr>
                <w:rFonts w:ascii="標楷體" w:eastAsia="標楷體" w:hAnsi="標楷體"/>
                <w:color w:val="000000"/>
                <w:kern w:val="0"/>
              </w:rPr>
              <w:t>,N</w:t>
            </w:r>
            <w:proofErr w:type="spellEnd"/>
            <w:proofErr w:type="gramEnd"/>
            <w:r w:rsidRPr="00D51976">
              <w:rPr>
                <w:rFonts w:ascii="標楷體" w:eastAsia="標楷體" w:hAnsi="標楷體"/>
                <w:color w:val="000000"/>
                <w:kern w:val="0"/>
              </w:rPr>
              <w:t xml:space="preserve">.,&amp; </w:t>
            </w:r>
            <w:proofErr w:type="spellStart"/>
            <w:r w:rsidRPr="00D51976">
              <w:rPr>
                <w:rFonts w:ascii="標楷體" w:eastAsia="標楷體" w:hAnsi="標楷體"/>
                <w:color w:val="000000"/>
                <w:kern w:val="0"/>
              </w:rPr>
              <w:t>Garcia,A</w:t>
            </w:r>
            <w:proofErr w:type="spellEnd"/>
            <w:r w:rsidRPr="00D51976">
              <w:rPr>
                <w:rFonts w:ascii="標楷體" w:eastAsia="標楷體" w:hAnsi="標楷體"/>
                <w:color w:val="000000"/>
                <w:kern w:val="0"/>
              </w:rPr>
              <w:t xml:space="preserve">.（1999）,The Internet </w:t>
            </w:r>
            <w:proofErr w:type="spellStart"/>
            <w:r w:rsidRPr="00D51976">
              <w:rPr>
                <w:rFonts w:ascii="標楷體" w:eastAsia="標楷體" w:hAnsi="標楷體"/>
                <w:color w:val="000000"/>
                <w:kern w:val="0"/>
              </w:rPr>
              <w:t>Shopper,Journal</w:t>
            </w:r>
            <w:proofErr w:type="spellEnd"/>
            <w:r w:rsidRPr="00D51976">
              <w:rPr>
                <w:rFonts w:ascii="標楷體" w:eastAsia="標楷體" w:hAnsi="標楷體"/>
                <w:color w:val="000000"/>
                <w:kern w:val="0"/>
              </w:rPr>
              <w:t xml:space="preserve"> of Advertising Research, Vol.39, No.3, pp.52-66.</w:t>
            </w:r>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autoSpaceDE w:val="0"/>
              <w:autoSpaceDN w:val="0"/>
              <w:adjustRightInd w:val="0"/>
              <w:spacing w:beforeLines="50" w:afterLines="50" w:line="440" w:lineRule="exact"/>
              <w:ind w:left="360" w:hangingChars="150" w:hanging="360"/>
              <w:rPr>
                <w:rFonts w:ascii="標楷體" w:eastAsia="標楷體" w:hAnsi="標楷體"/>
                <w:color w:val="000000"/>
                <w:kern w:val="0"/>
              </w:rPr>
            </w:pPr>
            <w:r w:rsidRPr="00D51976">
              <w:rPr>
                <w:rFonts w:ascii="標楷體" w:eastAsia="標楷體" w:hAnsi="標楷體"/>
                <w:color w:val="000000"/>
                <w:kern w:val="0"/>
              </w:rPr>
              <w:t xml:space="preserve">4. </w:t>
            </w:r>
            <w:proofErr w:type="spellStart"/>
            <w:r w:rsidRPr="00D51976">
              <w:rPr>
                <w:rFonts w:ascii="標楷體" w:eastAsia="標楷體" w:hAnsi="標楷體"/>
                <w:color w:val="000000"/>
                <w:kern w:val="0"/>
              </w:rPr>
              <w:t>Donthu</w:t>
            </w:r>
            <w:proofErr w:type="gramStart"/>
            <w:r w:rsidRPr="00D51976">
              <w:rPr>
                <w:rFonts w:ascii="標楷體" w:eastAsia="標楷體" w:hAnsi="標楷體"/>
                <w:color w:val="000000"/>
                <w:kern w:val="0"/>
              </w:rPr>
              <w:t>,N</w:t>
            </w:r>
            <w:proofErr w:type="spellEnd"/>
            <w:proofErr w:type="gramEnd"/>
            <w:r w:rsidRPr="00D51976">
              <w:rPr>
                <w:rFonts w:ascii="標楷體" w:eastAsia="標楷體" w:hAnsi="標楷體"/>
                <w:color w:val="000000"/>
                <w:kern w:val="0"/>
              </w:rPr>
              <w:t xml:space="preserve">.,&amp; </w:t>
            </w:r>
            <w:proofErr w:type="spellStart"/>
            <w:r w:rsidRPr="00D51976">
              <w:rPr>
                <w:rFonts w:ascii="標楷體" w:eastAsia="標楷體" w:hAnsi="標楷體"/>
                <w:color w:val="000000"/>
                <w:kern w:val="0"/>
              </w:rPr>
              <w:t>Garcia,A</w:t>
            </w:r>
            <w:proofErr w:type="spellEnd"/>
            <w:r w:rsidRPr="00D51976">
              <w:rPr>
                <w:rFonts w:ascii="標楷體" w:eastAsia="標楷體" w:hAnsi="標楷體"/>
                <w:color w:val="000000"/>
                <w:kern w:val="0"/>
              </w:rPr>
              <w:t xml:space="preserve">.（1999）,The Internet </w:t>
            </w:r>
            <w:proofErr w:type="spellStart"/>
            <w:r w:rsidRPr="00D51976">
              <w:rPr>
                <w:rFonts w:ascii="標楷體" w:eastAsia="標楷體" w:hAnsi="標楷體"/>
                <w:color w:val="000000"/>
                <w:kern w:val="0"/>
              </w:rPr>
              <w:t>Shopper,Journal</w:t>
            </w:r>
            <w:proofErr w:type="spellEnd"/>
            <w:r w:rsidRPr="00D51976">
              <w:rPr>
                <w:rFonts w:ascii="標楷體" w:eastAsia="標楷體" w:hAnsi="標楷體"/>
                <w:color w:val="000000"/>
                <w:kern w:val="0"/>
              </w:rPr>
              <w:t xml:space="preserve"> of Advertising Research, Vol.39, No.3, pp.52-66.</w:t>
            </w:r>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autoSpaceDE w:val="0"/>
              <w:autoSpaceDN w:val="0"/>
              <w:adjustRightInd w:val="0"/>
              <w:spacing w:beforeLines="50" w:afterLines="50" w:line="440" w:lineRule="exact"/>
              <w:ind w:left="360" w:hangingChars="150" w:hanging="360"/>
              <w:rPr>
                <w:rFonts w:ascii="標楷體" w:eastAsia="標楷體" w:hAnsi="標楷體"/>
                <w:color w:val="000000"/>
                <w:kern w:val="0"/>
              </w:rPr>
            </w:pPr>
            <w:r w:rsidRPr="00D51976">
              <w:rPr>
                <w:rFonts w:ascii="標楷體" w:eastAsia="標楷體" w:hAnsi="標楷體"/>
                <w:color w:val="000000"/>
                <w:kern w:val="0"/>
              </w:rPr>
              <w:t xml:space="preserve">5. </w:t>
            </w:r>
            <w:proofErr w:type="spellStart"/>
            <w:r w:rsidRPr="00D51976">
              <w:rPr>
                <w:rFonts w:ascii="標楷體" w:eastAsia="標楷體" w:hAnsi="標楷體"/>
                <w:color w:val="000000"/>
                <w:kern w:val="0"/>
              </w:rPr>
              <w:t>Taylor,S.A</w:t>
            </w:r>
            <w:proofErr w:type="spellEnd"/>
            <w:r w:rsidRPr="00D51976">
              <w:rPr>
                <w:rFonts w:ascii="標楷體" w:eastAsia="標楷體" w:hAnsi="標楷體"/>
                <w:color w:val="000000"/>
                <w:kern w:val="0"/>
              </w:rPr>
              <w:t xml:space="preserve">., &amp; Baker, T.L.（1994）,An Assessment of the Relationship Between Service Quality and Consumers` Satisfaction in the Formation of Consumers </w:t>
            </w:r>
            <w:proofErr w:type="spellStart"/>
            <w:r w:rsidRPr="00D51976">
              <w:rPr>
                <w:rFonts w:ascii="標楷體" w:eastAsia="標楷體" w:hAnsi="標楷體"/>
                <w:color w:val="000000"/>
                <w:kern w:val="0"/>
              </w:rPr>
              <w:t>Purchasa</w:t>
            </w:r>
            <w:proofErr w:type="spellEnd"/>
            <w:r w:rsidRPr="00D51976">
              <w:rPr>
                <w:rFonts w:ascii="標楷體" w:eastAsia="標楷體" w:hAnsi="標楷體"/>
                <w:color w:val="000000"/>
                <w:kern w:val="0"/>
              </w:rPr>
              <w:t xml:space="preserve"> </w:t>
            </w:r>
            <w:proofErr w:type="spellStart"/>
            <w:r w:rsidRPr="00D51976">
              <w:rPr>
                <w:rFonts w:ascii="標楷體" w:eastAsia="標楷體" w:hAnsi="標楷體"/>
                <w:color w:val="000000"/>
                <w:kern w:val="0"/>
              </w:rPr>
              <w:t>Intention,Journal</w:t>
            </w:r>
            <w:proofErr w:type="spellEnd"/>
            <w:r w:rsidRPr="00D51976">
              <w:rPr>
                <w:rFonts w:ascii="標楷體" w:eastAsia="標楷體" w:hAnsi="標楷體"/>
                <w:color w:val="000000"/>
                <w:kern w:val="0"/>
              </w:rPr>
              <w:t xml:space="preserve"> of Retailing,Vol.70, No. 2, pp.163-178.</w:t>
            </w:r>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autoSpaceDE w:val="0"/>
              <w:autoSpaceDN w:val="0"/>
              <w:adjustRightInd w:val="0"/>
              <w:spacing w:beforeLines="50" w:afterLines="50" w:line="440" w:lineRule="exact"/>
              <w:ind w:left="360" w:hangingChars="150" w:hanging="360"/>
              <w:rPr>
                <w:rFonts w:ascii="標楷體" w:eastAsia="標楷體" w:hAnsi="標楷體"/>
                <w:color w:val="000000"/>
                <w:kern w:val="0"/>
              </w:rPr>
            </w:pPr>
            <w:r w:rsidRPr="00D51976">
              <w:rPr>
                <w:rFonts w:ascii="標楷體" w:eastAsia="標楷體" w:hAnsi="標楷體"/>
                <w:color w:val="000000"/>
                <w:kern w:val="0"/>
              </w:rPr>
              <w:t xml:space="preserve">6. </w:t>
            </w:r>
            <w:proofErr w:type="spellStart"/>
            <w:r w:rsidRPr="00D51976">
              <w:rPr>
                <w:rFonts w:ascii="標楷體" w:eastAsia="標楷體" w:hAnsi="標楷體"/>
                <w:color w:val="000000"/>
                <w:kern w:val="0"/>
              </w:rPr>
              <w:t>Zaichkowsky</w:t>
            </w:r>
            <w:proofErr w:type="gramStart"/>
            <w:r w:rsidRPr="00D51976">
              <w:rPr>
                <w:rFonts w:ascii="標楷體" w:eastAsia="標楷體" w:hAnsi="標楷體"/>
                <w:color w:val="000000"/>
                <w:kern w:val="0"/>
              </w:rPr>
              <w:t>,J.L</w:t>
            </w:r>
            <w:proofErr w:type="spellEnd"/>
            <w:proofErr w:type="gramEnd"/>
            <w:r w:rsidRPr="00D51976">
              <w:rPr>
                <w:rFonts w:ascii="標楷體" w:eastAsia="標楷體" w:hAnsi="標楷體"/>
                <w:color w:val="000000"/>
                <w:kern w:val="0"/>
              </w:rPr>
              <w:t xml:space="preserve">.(1985),Measuring the Involvement </w:t>
            </w:r>
            <w:proofErr w:type="spellStart"/>
            <w:r w:rsidRPr="00D51976">
              <w:rPr>
                <w:rFonts w:ascii="標楷體" w:eastAsia="標楷體" w:hAnsi="標楷體"/>
                <w:color w:val="000000"/>
                <w:kern w:val="0"/>
              </w:rPr>
              <w:t>Construct,Journal</w:t>
            </w:r>
            <w:proofErr w:type="spellEnd"/>
            <w:r w:rsidRPr="00D51976">
              <w:rPr>
                <w:rFonts w:ascii="標楷體" w:eastAsia="標楷體" w:hAnsi="標楷體"/>
                <w:color w:val="000000"/>
                <w:kern w:val="0"/>
              </w:rPr>
              <w:t xml:space="preserve"> of Consumer Research,Vol.12, pp.341-352.</w:t>
            </w:r>
          </w:p>
        </w:tc>
      </w:tr>
      <w:tr w:rsidR="00D51976" w:rsidRPr="00D51976" w:rsidTr="00E70CC2">
        <w:trPr>
          <w:trHeight w:val="390"/>
        </w:trPr>
        <w:tc>
          <w:tcPr>
            <w:tcW w:w="8670" w:type="dxa"/>
            <w:tcBorders>
              <w:top w:val="nil"/>
              <w:left w:val="nil"/>
              <w:bottom w:val="nil"/>
              <w:right w:val="nil"/>
            </w:tcBorders>
            <w:shd w:val="clear" w:color="auto" w:fill="auto"/>
            <w:noWrap/>
            <w:vAlign w:val="center"/>
          </w:tcPr>
          <w:p w:rsidR="00D51976" w:rsidRPr="00D51976" w:rsidRDefault="00D51976" w:rsidP="00D51976">
            <w:pPr>
              <w:autoSpaceDE w:val="0"/>
              <w:autoSpaceDN w:val="0"/>
              <w:adjustRightInd w:val="0"/>
              <w:spacing w:beforeLines="50" w:afterLines="50" w:line="440" w:lineRule="exact"/>
              <w:ind w:left="360" w:hangingChars="150" w:hanging="360"/>
              <w:rPr>
                <w:rFonts w:ascii="標楷體" w:eastAsia="標楷體" w:hAnsi="標楷體"/>
                <w:color w:val="000000"/>
                <w:kern w:val="0"/>
              </w:rPr>
            </w:pPr>
            <w:r w:rsidRPr="00D51976">
              <w:rPr>
                <w:rFonts w:ascii="標楷體" w:eastAsia="標楷體" w:hAnsi="標楷體"/>
                <w:color w:val="000000"/>
                <w:kern w:val="0"/>
              </w:rPr>
              <w:t xml:space="preserve">7. </w:t>
            </w:r>
            <w:proofErr w:type="spellStart"/>
            <w:r w:rsidRPr="00D51976">
              <w:rPr>
                <w:rFonts w:ascii="標楷體" w:eastAsia="標楷體" w:hAnsi="標楷體"/>
                <w:color w:val="000000"/>
                <w:kern w:val="0"/>
              </w:rPr>
              <w:t>Zaichkowsky</w:t>
            </w:r>
            <w:proofErr w:type="gramStart"/>
            <w:r w:rsidRPr="00D51976">
              <w:rPr>
                <w:rFonts w:ascii="標楷體" w:eastAsia="標楷體" w:hAnsi="標楷體"/>
                <w:color w:val="000000"/>
                <w:kern w:val="0"/>
              </w:rPr>
              <w:t>,J.L</w:t>
            </w:r>
            <w:proofErr w:type="spellEnd"/>
            <w:proofErr w:type="gramEnd"/>
            <w:r w:rsidRPr="00D51976">
              <w:rPr>
                <w:rFonts w:ascii="標楷體" w:eastAsia="標楷體" w:hAnsi="標楷體"/>
                <w:color w:val="000000"/>
                <w:kern w:val="0"/>
              </w:rPr>
              <w:t xml:space="preserve">.(1994),The Personal Involvement Inventory: </w:t>
            </w:r>
            <w:proofErr w:type="spellStart"/>
            <w:r w:rsidRPr="00D51976">
              <w:rPr>
                <w:rFonts w:ascii="標楷體" w:eastAsia="標楷體" w:hAnsi="標楷體"/>
                <w:color w:val="000000"/>
                <w:kern w:val="0"/>
              </w:rPr>
              <w:t>Reduction,Revision</w:t>
            </w:r>
            <w:proofErr w:type="spellEnd"/>
            <w:r w:rsidRPr="00D51976">
              <w:rPr>
                <w:rFonts w:ascii="標楷體" w:eastAsia="標楷體" w:hAnsi="標楷體"/>
                <w:color w:val="000000"/>
                <w:kern w:val="0"/>
              </w:rPr>
              <w:t xml:space="preserve"> and Application to Advertising, Journal of Advertising,Vol.23, No.4, p.70.</w:t>
            </w:r>
          </w:p>
        </w:tc>
      </w:tr>
    </w:tbl>
    <w:p w:rsidR="00D51976" w:rsidRPr="00D51976" w:rsidRDefault="00D51976" w:rsidP="00D51976">
      <w:pPr>
        <w:spacing w:line="440" w:lineRule="exact"/>
        <w:rPr>
          <w:rFonts w:ascii="標楷體" w:eastAsia="標楷體" w:hAnsi="標楷體"/>
        </w:rPr>
      </w:pPr>
    </w:p>
    <w:sectPr w:rsidR="00D51976" w:rsidRPr="00D51976" w:rsidSect="009B075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66B6"/>
    <w:rsid w:val="00227086"/>
    <w:rsid w:val="009B075B"/>
    <w:rsid w:val="00B066B6"/>
    <w:rsid w:val="00D51976"/>
    <w:rsid w:val="00E738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50"/>
    <o:shapelayout v:ext="edit">
      <o:idmap v:ext="edit" data="1"/>
      <o:rules v:ext="edit">
        <o:r id="V:Rule7" type="connector" idref="#_x0000_s1051">
          <o:proxy start="" idref="#_x0000_s1045" connectloc="2"/>
          <o:proxy end="" idref="#_x0000_s1046" connectloc="0"/>
        </o:r>
        <o:r id="V:Rule8" type="connector" idref="#_x0000_s1052">
          <o:proxy start="" idref="#_x0000_s1046" connectloc="2"/>
          <o:proxy end="" idref="#_x0000_s1047" connectloc="0"/>
        </o:r>
        <o:r id="V:Rule9" type="connector" idref="#_x0000_s1053">
          <o:proxy start="" idref="#_x0000_s1044" connectloc="2"/>
          <o:proxy end="" idref="#_x0000_s1045" connectloc="0"/>
        </o:r>
        <o:r id="V:Rule10" type="connector" idref="#_x0000_s1054">
          <o:proxy start="" idref="#_x0000_s1047" connectloc="2"/>
          <o:proxy end="" idref="#_x0000_s1048" connectloc="0"/>
        </o:r>
        <o:r id="V:Rule11" type="connector" idref="#_x0000_s1055">
          <o:proxy start="" idref="#_x0000_s1048" connectloc="2"/>
          <o:proxy end="" idref="#_x0000_s1049" connectloc="0"/>
        </o:r>
        <o:r id="V:Rule12" type="connector" idref="#_x0000_s1056">
          <o:proxy start="" idref="#_x0000_s1049" connectloc="2"/>
          <o:proxy end="" idref="#_x0000_s105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51976"/>
    <w:pPr>
      <w:widowControl/>
      <w:spacing w:before="100" w:beforeAutospacing="1" w:after="100" w:afterAutospacing="1"/>
    </w:pPr>
    <w:rPr>
      <w:rFonts w:ascii="新細明體" w:hAnsi="新細明體" w:cs="新細明體"/>
      <w:kern w:val="0"/>
    </w:rPr>
  </w:style>
  <w:style w:type="character" w:customStyle="1" w:styleId="info">
    <w:name w:val="info"/>
    <w:basedOn w:val="a0"/>
    <w:rsid w:val="00D51976"/>
  </w:style>
  <w:style w:type="paragraph" w:customStyle="1" w:styleId="a3">
    <w:name w:val="圖目錄"/>
    <w:basedOn w:val="a"/>
    <w:rsid w:val="00D51976"/>
    <w:pPr>
      <w:jc w:val="center"/>
    </w:pPr>
    <w:rPr>
      <w:rFonts w:ascii="標楷體" w:eastAsia="標楷體" w:hAnsi="標楷體"/>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3</cp:revision>
  <dcterms:created xsi:type="dcterms:W3CDTF">2012-09-03T03:47:00Z</dcterms:created>
  <dcterms:modified xsi:type="dcterms:W3CDTF">2012-09-03T03:58:00Z</dcterms:modified>
</cp:coreProperties>
</file>